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86D8" w14:textId="6536C275" w:rsidR="00454BD6" w:rsidRPr="00A2680F" w:rsidRDefault="00C20DCF" w:rsidP="00A2680F">
      <w:pPr>
        <w:jc w:val="center"/>
        <w:rPr>
          <w:rFonts w:ascii="Garamond" w:hAnsi="Garamond" w:cs="Times New Roman"/>
          <w:b/>
          <w:sz w:val="24"/>
          <w:szCs w:val="24"/>
        </w:rPr>
      </w:pPr>
      <w:r w:rsidRPr="00A2680F">
        <w:rPr>
          <w:rFonts w:ascii="Garamond" w:hAnsi="Garamond" w:cs="Times New Roman"/>
          <w:b/>
          <w:sz w:val="24"/>
          <w:szCs w:val="24"/>
        </w:rPr>
        <w:t>Esclavitud y filicidio en la villa del Socorro (Nuevo Reino de Granada) a finales del siglo XVIII</w:t>
      </w:r>
    </w:p>
    <w:p w14:paraId="5FED7E37" w14:textId="77777777" w:rsidR="00A2680F" w:rsidRDefault="00A2680F" w:rsidP="00A2680F">
      <w:pPr>
        <w:jc w:val="both"/>
        <w:rPr>
          <w:rFonts w:ascii="Garamond" w:eastAsia="Calibri" w:hAnsi="Garamond" w:cs="Times New Roman"/>
          <w:b/>
          <w:sz w:val="24"/>
          <w:szCs w:val="24"/>
        </w:rPr>
      </w:pPr>
    </w:p>
    <w:p w14:paraId="12948DB9" w14:textId="3BBDFB79" w:rsidR="00175D67" w:rsidRDefault="00175D67" w:rsidP="00175D67">
      <w:pPr>
        <w:spacing w:line="240" w:lineRule="auto"/>
        <w:jc w:val="right"/>
        <w:rPr>
          <w:rFonts w:ascii="Garamond" w:eastAsia="Calibri" w:hAnsi="Garamond" w:cs="Times New Roman"/>
          <w:b/>
          <w:sz w:val="24"/>
          <w:szCs w:val="24"/>
        </w:rPr>
      </w:pPr>
      <w:r w:rsidRPr="00175D67">
        <w:rPr>
          <w:rFonts w:ascii="Garamond" w:eastAsia="Calibri" w:hAnsi="Garamond" w:cs="Times New Roman"/>
          <w:b/>
          <w:sz w:val="24"/>
          <w:szCs w:val="24"/>
        </w:rPr>
        <w:t>Robinson Salazar Carreño</w:t>
      </w:r>
    </w:p>
    <w:p w14:paraId="3217F866" w14:textId="2FF2D9A6" w:rsidR="00175D67" w:rsidRPr="00175D67" w:rsidRDefault="00175D67" w:rsidP="00175D67">
      <w:pPr>
        <w:spacing w:line="240" w:lineRule="auto"/>
        <w:jc w:val="right"/>
        <w:rPr>
          <w:rFonts w:ascii="Garamond" w:eastAsia="Calibri" w:hAnsi="Garamond" w:cs="Times New Roman"/>
          <w:sz w:val="24"/>
          <w:szCs w:val="24"/>
        </w:rPr>
      </w:pPr>
      <w:bookmarkStart w:id="0" w:name="_GoBack"/>
      <w:r w:rsidRPr="00175D67">
        <w:rPr>
          <w:rFonts w:ascii="Garamond" w:eastAsia="Calibri" w:hAnsi="Garamond" w:cs="Times New Roman"/>
          <w:sz w:val="24"/>
          <w:szCs w:val="24"/>
        </w:rPr>
        <w:t>Universidad Manuela Beltrán</w:t>
      </w:r>
    </w:p>
    <w:p w14:paraId="42D0F6F8" w14:textId="7A958EE7" w:rsidR="00A2680F" w:rsidRPr="00175D67" w:rsidRDefault="00175D67" w:rsidP="00175D67">
      <w:pPr>
        <w:spacing w:line="240" w:lineRule="auto"/>
        <w:jc w:val="right"/>
        <w:rPr>
          <w:rFonts w:ascii="Garamond" w:eastAsia="Calibri" w:hAnsi="Garamond" w:cs="Times New Roman"/>
          <w:sz w:val="24"/>
          <w:szCs w:val="24"/>
        </w:rPr>
      </w:pPr>
      <w:r w:rsidRPr="00175D67">
        <w:rPr>
          <w:rFonts w:ascii="Garamond" w:eastAsia="Calibri" w:hAnsi="Garamond" w:cs="Times New Roman"/>
          <w:sz w:val="24"/>
          <w:szCs w:val="24"/>
        </w:rPr>
        <w:t>https://orcid.org/0000-0001-9042-5843</w:t>
      </w:r>
    </w:p>
    <w:bookmarkEnd w:id="0"/>
    <w:p w14:paraId="6C5705E1" w14:textId="77777777" w:rsidR="00175D67" w:rsidRDefault="00175D67" w:rsidP="00175D67">
      <w:pPr>
        <w:jc w:val="right"/>
        <w:rPr>
          <w:rFonts w:ascii="Garamond" w:eastAsia="Calibri" w:hAnsi="Garamond" w:cs="Times New Roman"/>
          <w:b/>
          <w:sz w:val="24"/>
          <w:szCs w:val="24"/>
        </w:rPr>
      </w:pPr>
    </w:p>
    <w:p w14:paraId="1E0D6BCC" w14:textId="77777777" w:rsidR="00A2680F" w:rsidRDefault="00A2680F" w:rsidP="00A2680F">
      <w:pPr>
        <w:jc w:val="both"/>
        <w:rPr>
          <w:rFonts w:ascii="Garamond" w:eastAsia="Calibri" w:hAnsi="Garamond" w:cs="Times New Roman"/>
          <w:b/>
          <w:sz w:val="24"/>
          <w:szCs w:val="24"/>
        </w:rPr>
      </w:pPr>
    </w:p>
    <w:p w14:paraId="0D510987" w14:textId="77777777" w:rsidR="00A2680F" w:rsidRDefault="00A2680F" w:rsidP="00A2680F">
      <w:pPr>
        <w:jc w:val="both"/>
        <w:rPr>
          <w:rFonts w:ascii="Garamond" w:eastAsia="Calibri" w:hAnsi="Garamond" w:cs="Times New Roman"/>
          <w:b/>
          <w:sz w:val="24"/>
          <w:szCs w:val="24"/>
        </w:rPr>
      </w:pPr>
    </w:p>
    <w:p w14:paraId="686B121A" w14:textId="77777777" w:rsidR="00A2680F" w:rsidRDefault="00A2680F" w:rsidP="00A2680F">
      <w:pPr>
        <w:jc w:val="both"/>
        <w:rPr>
          <w:rFonts w:ascii="Garamond" w:eastAsia="Calibri" w:hAnsi="Garamond" w:cs="Times New Roman"/>
          <w:b/>
          <w:sz w:val="24"/>
          <w:szCs w:val="24"/>
        </w:rPr>
      </w:pPr>
    </w:p>
    <w:p w14:paraId="320E0411" w14:textId="77777777" w:rsidR="00A2680F" w:rsidRDefault="00A2680F" w:rsidP="00A2680F">
      <w:pPr>
        <w:jc w:val="both"/>
        <w:rPr>
          <w:rFonts w:ascii="Garamond" w:eastAsia="Calibri" w:hAnsi="Garamond" w:cs="Times New Roman"/>
          <w:b/>
          <w:sz w:val="24"/>
          <w:szCs w:val="24"/>
        </w:rPr>
      </w:pPr>
    </w:p>
    <w:p w14:paraId="2F1B0520" w14:textId="77777777" w:rsidR="00A2680F" w:rsidRDefault="00A2680F" w:rsidP="00A2680F">
      <w:pPr>
        <w:jc w:val="both"/>
        <w:rPr>
          <w:rFonts w:ascii="Garamond" w:eastAsia="Calibri" w:hAnsi="Garamond" w:cs="Times New Roman"/>
          <w:b/>
          <w:sz w:val="24"/>
          <w:szCs w:val="24"/>
        </w:rPr>
      </w:pPr>
    </w:p>
    <w:p w14:paraId="5172C8BC" w14:textId="77777777" w:rsidR="00A2680F" w:rsidRDefault="00A2680F" w:rsidP="00A2680F">
      <w:pPr>
        <w:jc w:val="both"/>
        <w:rPr>
          <w:rFonts w:ascii="Garamond" w:eastAsia="Calibri" w:hAnsi="Garamond" w:cs="Times New Roman"/>
          <w:b/>
          <w:sz w:val="24"/>
          <w:szCs w:val="24"/>
        </w:rPr>
      </w:pPr>
    </w:p>
    <w:p w14:paraId="60091BEE" w14:textId="77777777" w:rsidR="00A2680F" w:rsidRDefault="00A2680F" w:rsidP="00A2680F">
      <w:pPr>
        <w:jc w:val="both"/>
        <w:rPr>
          <w:rFonts w:ascii="Garamond" w:eastAsia="Calibri" w:hAnsi="Garamond" w:cs="Times New Roman"/>
          <w:b/>
          <w:sz w:val="24"/>
          <w:szCs w:val="24"/>
        </w:rPr>
      </w:pPr>
    </w:p>
    <w:p w14:paraId="031D03C5" w14:textId="77777777" w:rsidR="00A2680F" w:rsidRDefault="00A2680F" w:rsidP="00A2680F">
      <w:pPr>
        <w:jc w:val="both"/>
        <w:rPr>
          <w:rFonts w:ascii="Garamond" w:eastAsia="Calibri" w:hAnsi="Garamond" w:cs="Times New Roman"/>
          <w:b/>
          <w:sz w:val="24"/>
          <w:szCs w:val="24"/>
        </w:rPr>
      </w:pPr>
    </w:p>
    <w:p w14:paraId="74912C4E" w14:textId="77777777" w:rsidR="00A2680F" w:rsidRDefault="00A2680F" w:rsidP="00A2680F">
      <w:pPr>
        <w:jc w:val="both"/>
        <w:rPr>
          <w:rFonts w:ascii="Garamond" w:eastAsia="Calibri" w:hAnsi="Garamond" w:cs="Times New Roman"/>
          <w:b/>
          <w:sz w:val="24"/>
          <w:szCs w:val="24"/>
        </w:rPr>
      </w:pPr>
    </w:p>
    <w:p w14:paraId="4C005466" w14:textId="77777777" w:rsidR="00A2680F" w:rsidRDefault="00A2680F" w:rsidP="00A2680F">
      <w:pPr>
        <w:jc w:val="both"/>
        <w:rPr>
          <w:rFonts w:ascii="Garamond" w:eastAsia="Calibri" w:hAnsi="Garamond" w:cs="Times New Roman"/>
          <w:b/>
          <w:sz w:val="24"/>
          <w:szCs w:val="24"/>
        </w:rPr>
      </w:pPr>
    </w:p>
    <w:p w14:paraId="401D5EFC" w14:textId="77777777" w:rsidR="00A2680F" w:rsidRDefault="00A2680F" w:rsidP="00A2680F">
      <w:pPr>
        <w:jc w:val="both"/>
        <w:rPr>
          <w:rFonts w:ascii="Garamond" w:eastAsia="Calibri" w:hAnsi="Garamond" w:cs="Times New Roman"/>
          <w:b/>
          <w:sz w:val="24"/>
          <w:szCs w:val="24"/>
        </w:rPr>
      </w:pPr>
    </w:p>
    <w:p w14:paraId="68A1985E" w14:textId="77777777" w:rsidR="00A2680F" w:rsidRDefault="00A2680F" w:rsidP="00A2680F">
      <w:pPr>
        <w:jc w:val="both"/>
        <w:rPr>
          <w:rFonts w:ascii="Garamond" w:eastAsia="Calibri" w:hAnsi="Garamond" w:cs="Times New Roman"/>
          <w:b/>
          <w:sz w:val="24"/>
          <w:szCs w:val="24"/>
        </w:rPr>
      </w:pPr>
    </w:p>
    <w:p w14:paraId="11F140BE" w14:textId="77777777" w:rsidR="00A2680F" w:rsidRDefault="00A2680F" w:rsidP="00A2680F">
      <w:pPr>
        <w:jc w:val="both"/>
        <w:rPr>
          <w:rFonts w:ascii="Garamond" w:eastAsia="Calibri" w:hAnsi="Garamond" w:cs="Times New Roman"/>
          <w:b/>
          <w:sz w:val="24"/>
          <w:szCs w:val="24"/>
        </w:rPr>
      </w:pPr>
    </w:p>
    <w:p w14:paraId="79FD6D38" w14:textId="77777777" w:rsidR="00A2680F" w:rsidRDefault="00A2680F" w:rsidP="00A2680F">
      <w:pPr>
        <w:jc w:val="both"/>
        <w:rPr>
          <w:rFonts w:ascii="Garamond" w:eastAsia="Calibri" w:hAnsi="Garamond" w:cs="Times New Roman"/>
          <w:b/>
          <w:sz w:val="24"/>
          <w:szCs w:val="24"/>
        </w:rPr>
      </w:pPr>
    </w:p>
    <w:p w14:paraId="5AAE2D0F" w14:textId="77777777" w:rsidR="00A2680F" w:rsidRDefault="00A2680F" w:rsidP="00A2680F">
      <w:pPr>
        <w:jc w:val="both"/>
        <w:rPr>
          <w:rFonts w:ascii="Garamond" w:eastAsia="Calibri" w:hAnsi="Garamond" w:cs="Times New Roman"/>
          <w:b/>
          <w:sz w:val="24"/>
          <w:szCs w:val="24"/>
        </w:rPr>
      </w:pPr>
    </w:p>
    <w:p w14:paraId="1A0EB8F7" w14:textId="77777777" w:rsidR="00A2680F" w:rsidRDefault="00A2680F" w:rsidP="00A2680F">
      <w:pPr>
        <w:jc w:val="both"/>
        <w:rPr>
          <w:rFonts w:ascii="Garamond" w:eastAsia="Calibri" w:hAnsi="Garamond" w:cs="Times New Roman"/>
          <w:b/>
          <w:sz w:val="24"/>
          <w:szCs w:val="24"/>
        </w:rPr>
      </w:pPr>
    </w:p>
    <w:p w14:paraId="4399BB2E" w14:textId="77777777" w:rsidR="00A2680F" w:rsidRDefault="00A2680F" w:rsidP="00A2680F">
      <w:pPr>
        <w:jc w:val="both"/>
        <w:rPr>
          <w:rFonts w:ascii="Garamond" w:eastAsia="Calibri" w:hAnsi="Garamond" w:cs="Times New Roman"/>
          <w:b/>
          <w:sz w:val="24"/>
          <w:szCs w:val="24"/>
        </w:rPr>
      </w:pPr>
    </w:p>
    <w:p w14:paraId="1337C2F6" w14:textId="77777777" w:rsidR="00A2680F" w:rsidRDefault="00A2680F" w:rsidP="00A2680F">
      <w:pPr>
        <w:jc w:val="both"/>
        <w:rPr>
          <w:rFonts w:ascii="Garamond" w:eastAsia="Calibri" w:hAnsi="Garamond" w:cs="Times New Roman"/>
          <w:b/>
          <w:sz w:val="24"/>
          <w:szCs w:val="24"/>
        </w:rPr>
      </w:pPr>
    </w:p>
    <w:p w14:paraId="18A9A0F4" w14:textId="77777777" w:rsidR="00A2680F" w:rsidRDefault="00A2680F" w:rsidP="00A2680F">
      <w:pPr>
        <w:jc w:val="both"/>
        <w:rPr>
          <w:rFonts w:ascii="Garamond" w:eastAsia="Calibri" w:hAnsi="Garamond" w:cs="Times New Roman"/>
          <w:b/>
          <w:sz w:val="24"/>
          <w:szCs w:val="24"/>
        </w:rPr>
      </w:pPr>
    </w:p>
    <w:p w14:paraId="576A3470" w14:textId="77777777" w:rsidR="00A2680F" w:rsidRDefault="00A2680F" w:rsidP="00A2680F">
      <w:pPr>
        <w:jc w:val="both"/>
        <w:rPr>
          <w:rFonts w:ascii="Garamond" w:eastAsia="Calibri" w:hAnsi="Garamond" w:cs="Times New Roman"/>
          <w:b/>
          <w:sz w:val="24"/>
          <w:szCs w:val="24"/>
        </w:rPr>
      </w:pPr>
    </w:p>
    <w:p w14:paraId="07A7BB4A" w14:textId="77777777" w:rsidR="00A2680F" w:rsidRDefault="00A2680F" w:rsidP="00A2680F">
      <w:pPr>
        <w:jc w:val="both"/>
        <w:rPr>
          <w:rFonts w:ascii="Garamond" w:eastAsia="Calibri" w:hAnsi="Garamond" w:cs="Times New Roman"/>
          <w:b/>
          <w:sz w:val="24"/>
          <w:szCs w:val="24"/>
        </w:rPr>
      </w:pPr>
    </w:p>
    <w:p w14:paraId="354215C6" w14:textId="47C8B8F2" w:rsidR="00A2680F" w:rsidRPr="00A2680F" w:rsidRDefault="00A2680F" w:rsidP="00A2680F">
      <w:pPr>
        <w:pStyle w:val="Sinespaciado"/>
        <w:jc w:val="both"/>
        <w:rPr>
          <w:rFonts w:ascii="Garamond" w:hAnsi="Garamond"/>
          <w:b/>
          <w:sz w:val="20"/>
          <w:szCs w:val="20"/>
        </w:rPr>
      </w:pPr>
      <w:r w:rsidRPr="00A2680F">
        <w:rPr>
          <w:rFonts w:ascii="Garamond" w:hAnsi="Garamond"/>
          <w:b/>
          <w:sz w:val="20"/>
          <w:szCs w:val="20"/>
        </w:rPr>
        <w:t>Esclavitud y filicidio en la villa del Socorro (Nuevo Reino de Granada) a finales del siglo XVIII</w:t>
      </w:r>
    </w:p>
    <w:p w14:paraId="7A6C0988" w14:textId="77777777" w:rsidR="00A2680F" w:rsidRPr="00A2680F" w:rsidRDefault="00A2680F" w:rsidP="00A2680F">
      <w:pPr>
        <w:pStyle w:val="Sinespaciado"/>
        <w:jc w:val="both"/>
        <w:rPr>
          <w:rFonts w:ascii="Garamond" w:hAnsi="Garamond"/>
          <w:sz w:val="20"/>
          <w:szCs w:val="20"/>
        </w:rPr>
      </w:pPr>
    </w:p>
    <w:p w14:paraId="20F50C02" w14:textId="2E3B553F" w:rsidR="00DD72A5" w:rsidRPr="00A2680F" w:rsidRDefault="00DD72A5" w:rsidP="00A2680F">
      <w:pPr>
        <w:pStyle w:val="Sinespaciado"/>
        <w:jc w:val="both"/>
        <w:rPr>
          <w:rFonts w:ascii="Garamond" w:hAnsi="Garamond"/>
          <w:b/>
          <w:sz w:val="20"/>
          <w:szCs w:val="20"/>
        </w:rPr>
      </w:pPr>
      <w:r w:rsidRPr="00A2680F">
        <w:rPr>
          <w:rFonts w:ascii="Garamond" w:hAnsi="Garamond"/>
          <w:b/>
          <w:sz w:val="20"/>
          <w:szCs w:val="20"/>
        </w:rPr>
        <w:t>Resumen</w:t>
      </w:r>
    </w:p>
    <w:p w14:paraId="5D632EDA" w14:textId="1DB69CA5" w:rsidR="00DD72A5" w:rsidRDefault="00DD72A5" w:rsidP="00A2680F">
      <w:pPr>
        <w:pStyle w:val="Sinespaciado"/>
        <w:jc w:val="both"/>
        <w:rPr>
          <w:rFonts w:ascii="Garamond" w:hAnsi="Garamond"/>
          <w:sz w:val="20"/>
          <w:szCs w:val="20"/>
        </w:rPr>
      </w:pPr>
      <w:r w:rsidRPr="00A2680F">
        <w:rPr>
          <w:rFonts w:ascii="Garamond" w:hAnsi="Garamond"/>
          <w:sz w:val="20"/>
          <w:szCs w:val="20"/>
        </w:rPr>
        <w:t>Este trabajo presenta un acercamiento al problema de la dominación y resistencia en el contexto de la esclavitud a partir de la revisión de un caso de filicidio de una esclava en sus dos hijas, presentado en la villa del Socorro a finales del siglo XVIII. A la luz de las posturas teóricas de Georg Simmel y de James Scott, la lectura del expediente judicial indica el enfrentamiento entre las estrategias de dominación de los amos y los juegos de resistencia de los esclavizados como dos expresiones normales en las relaciones sociales de la esclavitud.</w:t>
      </w:r>
    </w:p>
    <w:p w14:paraId="01A431B3" w14:textId="77777777" w:rsidR="00A2680F" w:rsidRPr="00A2680F" w:rsidRDefault="00A2680F" w:rsidP="00A2680F">
      <w:pPr>
        <w:pStyle w:val="Sinespaciado"/>
        <w:jc w:val="both"/>
        <w:rPr>
          <w:rFonts w:ascii="Garamond" w:hAnsi="Garamond"/>
          <w:sz w:val="20"/>
          <w:szCs w:val="20"/>
        </w:rPr>
      </w:pPr>
    </w:p>
    <w:p w14:paraId="41093F75" w14:textId="77777777" w:rsidR="00DD72A5" w:rsidRPr="00A2680F" w:rsidRDefault="00DD72A5" w:rsidP="00A2680F">
      <w:pPr>
        <w:pStyle w:val="Sinespaciado"/>
        <w:jc w:val="both"/>
        <w:rPr>
          <w:rFonts w:ascii="Garamond" w:hAnsi="Garamond"/>
          <w:sz w:val="20"/>
          <w:szCs w:val="20"/>
        </w:rPr>
      </w:pPr>
      <w:r w:rsidRPr="00A2680F">
        <w:rPr>
          <w:rFonts w:ascii="Garamond" w:hAnsi="Garamond"/>
          <w:b/>
          <w:sz w:val="20"/>
          <w:szCs w:val="20"/>
        </w:rPr>
        <w:t>Palabras clave:</w:t>
      </w:r>
      <w:r w:rsidRPr="00A2680F">
        <w:rPr>
          <w:rFonts w:ascii="Garamond" w:hAnsi="Garamond"/>
          <w:sz w:val="20"/>
          <w:szCs w:val="20"/>
        </w:rPr>
        <w:t xml:space="preserve"> Dominación, resistencia, esclavitud, Villa del Socorro, siglo XVIII. </w:t>
      </w:r>
    </w:p>
    <w:p w14:paraId="1AD43250" w14:textId="77777777" w:rsidR="00DD72A5" w:rsidRPr="00A2680F" w:rsidRDefault="00DD72A5" w:rsidP="00A2680F">
      <w:pPr>
        <w:pStyle w:val="Sinespaciado"/>
        <w:jc w:val="both"/>
        <w:rPr>
          <w:rFonts w:ascii="Garamond" w:hAnsi="Garamond"/>
          <w:sz w:val="20"/>
          <w:szCs w:val="20"/>
        </w:rPr>
      </w:pPr>
    </w:p>
    <w:p w14:paraId="599AF37D" w14:textId="131345A5" w:rsidR="00DD72A5" w:rsidRDefault="00DD72A5" w:rsidP="00A2680F">
      <w:pPr>
        <w:pStyle w:val="Sinespaciado"/>
        <w:jc w:val="both"/>
        <w:rPr>
          <w:rFonts w:ascii="Garamond" w:hAnsi="Garamond"/>
          <w:b/>
          <w:sz w:val="20"/>
          <w:szCs w:val="20"/>
          <w:lang w:val="en-US"/>
        </w:rPr>
      </w:pPr>
      <w:r w:rsidRPr="00A2680F">
        <w:rPr>
          <w:rFonts w:ascii="Garamond" w:hAnsi="Garamond"/>
          <w:b/>
          <w:sz w:val="20"/>
          <w:szCs w:val="20"/>
          <w:lang w:val="en-US"/>
        </w:rPr>
        <w:t>Slavery and infanticide in the village of Socorro (New Kingdom of Granada) by the end of the 18th century</w:t>
      </w:r>
    </w:p>
    <w:p w14:paraId="65638576" w14:textId="77777777" w:rsidR="00A2680F" w:rsidRPr="00A2680F" w:rsidRDefault="00A2680F" w:rsidP="00A2680F">
      <w:pPr>
        <w:pStyle w:val="Sinespaciado"/>
        <w:jc w:val="both"/>
        <w:rPr>
          <w:rFonts w:ascii="Garamond" w:hAnsi="Garamond"/>
          <w:b/>
          <w:sz w:val="20"/>
          <w:szCs w:val="20"/>
          <w:lang w:val="en-US"/>
        </w:rPr>
      </w:pPr>
    </w:p>
    <w:p w14:paraId="287BE6BE" w14:textId="77777777" w:rsidR="00DD72A5" w:rsidRPr="00A2680F" w:rsidRDefault="00DD72A5" w:rsidP="00A2680F">
      <w:pPr>
        <w:pStyle w:val="Sinespaciado"/>
        <w:jc w:val="both"/>
        <w:rPr>
          <w:rFonts w:ascii="Garamond" w:hAnsi="Garamond"/>
          <w:b/>
          <w:sz w:val="20"/>
          <w:szCs w:val="20"/>
          <w:lang w:val="en-US"/>
        </w:rPr>
      </w:pPr>
      <w:r w:rsidRPr="00A2680F">
        <w:rPr>
          <w:rFonts w:ascii="Garamond" w:hAnsi="Garamond"/>
          <w:b/>
          <w:sz w:val="20"/>
          <w:szCs w:val="20"/>
          <w:lang w:val="en-US"/>
        </w:rPr>
        <w:t>Abstract:</w:t>
      </w:r>
    </w:p>
    <w:p w14:paraId="344FC2D1" w14:textId="3603DFE4" w:rsidR="00DD72A5" w:rsidRDefault="00DD72A5" w:rsidP="00A2680F">
      <w:pPr>
        <w:pStyle w:val="Sinespaciado"/>
        <w:jc w:val="both"/>
        <w:rPr>
          <w:rFonts w:ascii="Garamond" w:hAnsi="Garamond"/>
          <w:sz w:val="20"/>
          <w:szCs w:val="20"/>
          <w:lang w:val="en-US"/>
        </w:rPr>
      </w:pPr>
      <w:r w:rsidRPr="00A2680F">
        <w:rPr>
          <w:rFonts w:ascii="Garamond" w:hAnsi="Garamond"/>
          <w:sz w:val="20"/>
          <w:szCs w:val="20"/>
          <w:lang w:val="en-US"/>
        </w:rPr>
        <w:t>The present article presents an approach to the problem of domination and resistance in the context of slavery from the review of a infanticide case where a slave mother killed her two daughters. This case occurred in the village of Socorro by the end of the 18th Century. Under the light of the theoretical positions of Georg Simmel and James Scott, the reading of the judicial file indicates the confrontation between the domination strategies of the masters and the resistance games of the enslaved, as two normal expressions in the social relations at that time.</w:t>
      </w:r>
    </w:p>
    <w:p w14:paraId="4DB0EBB8" w14:textId="77777777" w:rsidR="00A2680F" w:rsidRPr="00A2680F" w:rsidRDefault="00A2680F" w:rsidP="00A2680F">
      <w:pPr>
        <w:pStyle w:val="Sinespaciado"/>
        <w:jc w:val="both"/>
        <w:rPr>
          <w:rFonts w:ascii="Garamond" w:hAnsi="Garamond"/>
          <w:sz w:val="20"/>
          <w:szCs w:val="20"/>
          <w:lang w:val="en-US"/>
        </w:rPr>
      </w:pPr>
    </w:p>
    <w:p w14:paraId="72F1A3D0" w14:textId="77777777" w:rsidR="00DD72A5" w:rsidRPr="00A2680F" w:rsidRDefault="00DD72A5" w:rsidP="00A2680F">
      <w:pPr>
        <w:pStyle w:val="Sinespaciado"/>
        <w:jc w:val="both"/>
        <w:rPr>
          <w:rFonts w:ascii="Garamond" w:eastAsia="Times New Roman" w:hAnsi="Garamond" w:cs="Helvetica"/>
          <w:color w:val="4B4F56"/>
          <w:sz w:val="20"/>
          <w:szCs w:val="20"/>
          <w:lang w:val="pt-PT" w:eastAsia="es-ES"/>
        </w:rPr>
      </w:pPr>
      <w:r w:rsidRPr="00A2680F">
        <w:rPr>
          <w:rFonts w:ascii="Garamond" w:hAnsi="Garamond"/>
          <w:b/>
          <w:sz w:val="20"/>
          <w:szCs w:val="20"/>
          <w:lang w:val="pt-PT"/>
        </w:rPr>
        <w:t>Keywords:</w:t>
      </w:r>
      <w:r w:rsidRPr="00A2680F">
        <w:rPr>
          <w:rFonts w:ascii="Garamond" w:hAnsi="Garamond"/>
          <w:sz w:val="20"/>
          <w:szCs w:val="20"/>
          <w:lang w:val="pt-PT"/>
        </w:rPr>
        <w:t xml:space="preserve"> Domination, resistance, slavery, village of Socorro, 18th Century.</w:t>
      </w:r>
    </w:p>
    <w:p w14:paraId="3B26653D" w14:textId="77777777" w:rsidR="00DD72A5" w:rsidRPr="00A2680F" w:rsidRDefault="00DD72A5" w:rsidP="00A2680F">
      <w:pPr>
        <w:pStyle w:val="Sinespaciado"/>
        <w:jc w:val="both"/>
        <w:rPr>
          <w:rFonts w:ascii="Garamond" w:hAnsi="Garamond"/>
          <w:b/>
          <w:sz w:val="20"/>
          <w:szCs w:val="20"/>
          <w:lang w:val="pt-PT"/>
        </w:rPr>
      </w:pPr>
    </w:p>
    <w:p w14:paraId="4B06A69B" w14:textId="174FCD09" w:rsidR="00DD72A5" w:rsidRPr="00A2680F" w:rsidRDefault="00DD72A5" w:rsidP="00A2680F">
      <w:pPr>
        <w:pStyle w:val="Sinespaciado"/>
        <w:jc w:val="both"/>
        <w:rPr>
          <w:rFonts w:ascii="Garamond" w:hAnsi="Garamond"/>
          <w:b/>
          <w:sz w:val="20"/>
          <w:szCs w:val="20"/>
          <w:lang w:val="pt-PT"/>
        </w:rPr>
      </w:pPr>
      <w:r w:rsidRPr="00A2680F">
        <w:rPr>
          <w:rFonts w:ascii="Garamond" w:hAnsi="Garamond"/>
          <w:b/>
          <w:sz w:val="20"/>
          <w:szCs w:val="20"/>
          <w:lang w:val="pt-PT"/>
        </w:rPr>
        <w:t>Escravidão e filicídio na vila de Socorro (Novo Reino de Granada) no final do século XVIII</w:t>
      </w:r>
    </w:p>
    <w:p w14:paraId="6B7987EA" w14:textId="77777777" w:rsidR="00A2680F" w:rsidRPr="00A2680F" w:rsidRDefault="00A2680F" w:rsidP="00A2680F">
      <w:pPr>
        <w:pStyle w:val="Sinespaciado"/>
        <w:jc w:val="both"/>
        <w:rPr>
          <w:rFonts w:ascii="Garamond" w:hAnsi="Garamond"/>
          <w:b/>
          <w:sz w:val="20"/>
          <w:szCs w:val="20"/>
          <w:lang w:val="pt-PT"/>
        </w:rPr>
      </w:pPr>
    </w:p>
    <w:p w14:paraId="59327328" w14:textId="727791BD" w:rsidR="00DD72A5" w:rsidRPr="00A2680F" w:rsidRDefault="00A2680F" w:rsidP="00A2680F">
      <w:pPr>
        <w:pStyle w:val="Sinespaciado"/>
        <w:jc w:val="both"/>
        <w:rPr>
          <w:rFonts w:ascii="Garamond" w:hAnsi="Garamond"/>
          <w:b/>
          <w:sz w:val="20"/>
          <w:szCs w:val="20"/>
          <w:lang w:val="pt-PT"/>
        </w:rPr>
      </w:pPr>
      <w:r w:rsidRPr="00A2680F">
        <w:rPr>
          <w:rFonts w:ascii="Garamond" w:hAnsi="Garamond"/>
          <w:b/>
          <w:sz w:val="20"/>
          <w:szCs w:val="20"/>
          <w:lang w:val="pt-PT"/>
        </w:rPr>
        <w:t>Resumo</w:t>
      </w:r>
    </w:p>
    <w:p w14:paraId="7F78A01E" w14:textId="77777777" w:rsidR="00DD72A5" w:rsidRPr="00A2680F" w:rsidRDefault="00DD72A5" w:rsidP="00A2680F">
      <w:pPr>
        <w:pStyle w:val="Sinespaciado"/>
        <w:jc w:val="both"/>
        <w:rPr>
          <w:rFonts w:ascii="Garamond" w:hAnsi="Garamond"/>
          <w:sz w:val="20"/>
          <w:szCs w:val="20"/>
          <w:lang w:val="pt-PT"/>
        </w:rPr>
      </w:pPr>
      <w:r w:rsidRPr="00A2680F">
        <w:rPr>
          <w:rFonts w:ascii="Garamond" w:hAnsi="Garamond"/>
          <w:sz w:val="20"/>
          <w:szCs w:val="20"/>
          <w:lang w:val="pt-PT"/>
        </w:rPr>
        <w:t>Este trabalho apresenta uma abordagem ao problema da dominação e resistência no contexto da escravidão a partir da revisão de um caso de filicídio de uma escrava em suas duas filhas, apresentado na vila de Socorro no final do século XVIII. À luz das posições teóricas de Georg Simmel e James Scott, a leitura do arquivo judicial indica o confronto entre as estratégias de dominação dos mestres e os jogos de resistência dos escravizados como duas expressões normais nas relações sociais da escravidão.</w:t>
      </w:r>
    </w:p>
    <w:p w14:paraId="51A38FE4" w14:textId="77777777" w:rsidR="00DD72A5" w:rsidRPr="00A2680F" w:rsidRDefault="00DD72A5" w:rsidP="00A2680F">
      <w:pPr>
        <w:pStyle w:val="Sinespaciado"/>
        <w:jc w:val="both"/>
        <w:rPr>
          <w:rFonts w:ascii="Garamond" w:hAnsi="Garamond"/>
          <w:sz w:val="20"/>
          <w:szCs w:val="20"/>
          <w:lang w:val="pt-PT"/>
        </w:rPr>
      </w:pPr>
      <w:r w:rsidRPr="00A2680F">
        <w:rPr>
          <w:rFonts w:ascii="Garamond" w:hAnsi="Garamond"/>
          <w:sz w:val="20"/>
          <w:szCs w:val="20"/>
          <w:lang w:val="pt-PT"/>
        </w:rPr>
        <w:t xml:space="preserve">Palavras chave: Dominação, resistência, escravidão, vila de Socorro, século XVIII.  </w:t>
      </w:r>
    </w:p>
    <w:p w14:paraId="0AD3F460" w14:textId="77777777" w:rsidR="00DD72A5" w:rsidRPr="00A2680F" w:rsidRDefault="00DD72A5" w:rsidP="00A2680F">
      <w:pPr>
        <w:pStyle w:val="Sinespaciado"/>
        <w:jc w:val="both"/>
        <w:rPr>
          <w:rFonts w:ascii="Garamond" w:hAnsi="Garamond"/>
          <w:sz w:val="20"/>
          <w:szCs w:val="20"/>
          <w:lang w:val="pt-PT"/>
        </w:rPr>
      </w:pPr>
    </w:p>
    <w:p w14:paraId="0052B27D" w14:textId="6C219779" w:rsidR="00DD72A5" w:rsidRDefault="00DD72A5" w:rsidP="00A2680F">
      <w:pPr>
        <w:pStyle w:val="Sinespaciado"/>
        <w:jc w:val="both"/>
        <w:rPr>
          <w:rFonts w:ascii="Garamond" w:hAnsi="Garamond"/>
          <w:b/>
          <w:bCs/>
          <w:sz w:val="20"/>
          <w:szCs w:val="20"/>
          <w:lang w:val="pt-PT"/>
        </w:rPr>
      </w:pPr>
      <w:r w:rsidRPr="00A2680F">
        <w:rPr>
          <w:rFonts w:ascii="Garamond" w:hAnsi="Garamond"/>
          <w:b/>
          <w:bCs/>
          <w:sz w:val="20"/>
          <w:szCs w:val="20"/>
          <w:lang w:val="pt-PT"/>
        </w:rPr>
        <w:t xml:space="preserve">Esclavage et filicide dans la ville de Socorro (Nouveau Royaume de Grenade) à la fin du XVIIIe siècle </w:t>
      </w:r>
    </w:p>
    <w:p w14:paraId="5FBCDAEA" w14:textId="77777777" w:rsidR="00A2680F" w:rsidRPr="00A2680F" w:rsidRDefault="00A2680F" w:rsidP="00A2680F">
      <w:pPr>
        <w:pStyle w:val="Sinespaciado"/>
        <w:jc w:val="both"/>
        <w:rPr>
          <w:rFonts w:ascii="Garamond" w:hAnsi="Garamond"/>
          <w:b/>
          <w:bCs/>
          <w:color w:val="202124"/>
          <w:sz w:val="20"/>
          <w:szCs w:val="20"/>
        </w:rPr>
      </w:pPr>
    </w:p>
    <w:p w14:paraId="7F960DF1" w14:textId="38CEAF23" w:rsidR="00DD72A5" w:rsidRPr="00A2680F" w:rsidRDefault="00DD72A5" w:rsidP="00A2680F">
      <w:pPr>
        <w:pStyle w:val="Sinespaciado"/>
        <w:jc w:val="both"/>
        <w:rPr>
          <w:rFonts w:ascii="Garamond" w:hAnsi="Garamond"/>
          <w:b/>
          <w:sz w:val="20"/>
          <w:szCs w:val="20"/>
          <w:lang w:val="pt-PT"/>
        </w:rPr>
      </w:pPr>
      <w:r w:rsidRPr="00A2680F">
        <w:rPr>
          <w:rFonts w:ascii="Garamond" w:hAnsi="Garamond"/>
          <w:b/>
          <w:sz w:val="20"/>
          <w:szCs w:val="20"/>
          <w:lang w:val="pt-PT"/>
        </w:rPr>
        <w:t>Rés</w:t>
      </w:r>
      <w:r w:rsidR="00A2680F" w:rsidRPr="00A2680F">
        <w:rPr>
          <w:rFonts w:ascii="Garamond" w:hAnsi="Garamond"/>
          <w:b/>
          <w:sz w:val="20"/>
          <w:szCs w:val="20"/>
          <w:lang w:val="pt-PT"/>
        </w:rPr>
        <w:t>umé</w:t>
      </w:r>
    </w:p>
    <w:p w14:paraId="3AA1E105" w14:textId="77777777" w:rsidR="00DD72A5" w:rsidRPr="00A2680F" w:rsidRDefault="00DD72A5" w:rsidP="00A2680F">
      <w:pPr>
        <w:pStyle w:val="Sinespaciado"/>
        <w:jc w:val="both"/>
        <w:rPr>
          <w:rFonts w:ascii="Garamond" w:hAnsi="Garamond"/>
          <w:sz w:val="20"/>
          <w:szCs w:val="20"/>
          <w:lang w:val="pt-PT"/>
        </w:rPr>
      </w:pPr>
      <w:r w:rsidRPr="00A2680F">
        <w:rPr>
          <w:rFonts w:ascii="Garamond" w:hAnsi="Garamond"/>
          <w:sz w:val="20"/>
          <w:szCs w:val="20"/>
          <w:lang w:val="pt-PT"/>
        </w:rPr>
        <w:t xml:space="preserve">Cet ouvrage présente une approche du problème de la domination et de la résistance dans le contexte de l’esclavage à partir de l’examen d’un cas de filicide dúne esclave chez ses deux filles, présenté dans la ville de Socorro à la fin du XVIIIe siècle. À la lumière des positions théoriques de Georg Simmel et de James Scott, la lecture du dossier judiciaire indique la confrontation entre les stregégies de domination des maîtres et les jeux de résistance des esclaves comme duex expressions normales dans les rapports sociaux d’esclavage. </w:t>
      </w:r>
    </w:p>
    <w:p w14:paraId="308015F6" w14:textId="77777777" w:rsidR="00A2680F" w:rsidRDefault="00A2680F" w:rsidP="00A2680F">
      <w:pPr>
        <w:pStyle w:val="Sinespaciado"/>
        <w:rPr>
          <w:rFonts w:ascii="Garamond" w:hAnsi="Garamond"/>
          <w:b/>
          <w:sz w:val="20"/>
          <w:szCs w:val="20"/>
          <w:lang w:val="pt-PT"/>
        </w:rPr>
      </w:pPr>
    </w:p>
    <w:p w14:paraId="6F425873" w14:textId="24A030E2" w:rsidR="00DD72A5" w:rsidRPr="00A2680F" w:rsidRDefault="00DD72A5" w:rsidP="00A2680F">
      <w:pPr>
        <w:pStyle w:val="Sinespaciado"/>
        <w:rPr>
          <w:rFonts w:ascii="Garamond" w:hAnsi="Garamond"/>
          <w:sz w:val="20"/>
          <w:szCs w:val="20"/>
          <w:lang w:val="pt-PT"/>
        </w:rPr>
      </w:pPr>
      <w:r w:rsidRPr="00A2680F">
        <w:rPr>
          <w:rFonts w:ascii="Garamond" w:hAnsi="Garamond"/>
          <w:b/>
          <w:sz w:val="20"/>
          <w:szCs w:val="20"/>
          <w:lang w:val="pt-PT"/>
        </w:rPr>
        <w:t>Most-clés:</w:t>
      </w:r>
      <w:r w:rsidRPr="00A2680F">
        <w:rPr>
          <w:rFonts w:ascii="Garamond" w:hAnsi="Garamond"/>
          <w:sz w:val="20"/>
          <w:szCs w:val="20"/>
          <w:lang w:val="pt-PT"/>
        </w:rPr>
        <w:t xml:space="preserve"> Domination, résistance, esclavage, villa del Socorro, XVIIIe siècle.</w:t>
      </w:r>
    </w:p>
    <w:p w14:paraId="3566DA2E" w14:textId="77777777" w:rsidR="00454BD6" w:rsidRPr="00A2680F" w:rsidRDefault="00454BD6" w:rsidP="00A2680F">
      <w:pPr>
        <w:jc w:val="both"/>
        <w:rPr>
          <w:rFonts w:ascii="Garamond" w:hAnsi="Garamond" w:cs="Times New Roman"/>
          <w:sz w:val="24"/>
          <w:szCs w:val="24"/>
          <w:lang w:val="pt-PT"/>
        </w:rPr>
      </w:pPr>
    </w:p>
    <w:p w14:paraId="45CCE011" w14:textId="77777777" w:rsidR="00454BD6" w:rsidRPr="00A2680F" w:rsidRDefault="00454BD6" w:rsidP="00A2680F">
      <w:pPr>
        <w:jc w:val="both"/>
        <w:rPr>
          <w:rFonts w:ascii="Garamond" w:hAnsi="Garamond" w:cs="Times New Roman"/>
          <w:b/>
          <w:sz w:val="24"/>
          <w:szCs w:val="24"/>
        </w:rPr>
      </w:pPr>
      <w:r w:rsidRPr="00A2680F">
        <w:rPr>
          <w:rFonts w:ascii="Garamond" w:hAnsi="Garamond" w:cs="Times New Roman"/>
          <w:b/>
          <w:sz w:val="24"/>
          <w:szCs w:val="24"/>
        </w:rPr>
        <w:t>Introducción</w:t>
      </w:r>
    </w:p>
    <w:p w14:paraId="0BB9883B" w14:textId="11E8C297" w:rsidR="00C971BC"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lastRenderedPageBreak/>
        <w:t>El objet</w:t>
      </w:r>
      <w:r w:rsidR="007E73BF" w:rsidRPr="00A2680F">
        <w:rPr>
          <w:rFonts w:ascii="Garamond" w:hAnsi="Garamond" w:cs="Times New Roman"/>
          <w:sz w:val="24"/>
          <w:szCs w:val="24"/>
        </w:rPr>
        <w:t>iv</w:t>
      </w:r>
      <w:r w:rsidRPr="00A2680F">
        <w:rPr>
          <w:rFonts w:ascii="Garamond" w:hAnsi="Garamond" w:cs="Times New Roman"/>
          <w:sz w:val="24"/>
          <w:szCs w:val="24"/>
        </w:rPr>
        <w:t>o de este trabajo consiste en reflexionar en torno a la</w:t>
      </w:r>
      <w:r w:rsidR="00496B14" w:rsidRPr="00A2680F">
        <w:rPr>
          <w:rFonts w:ascii="Garamond" w:hAnsi="Garamond" w:cs="Times New Roman"/>
          <w:sz w:val="24"/>
          <w:szCs w:val="24"/>
        </w:rPr>
        <w:t>s</w:t>
      </w:r>
      <w:r w:rsidRPr="00A2680F">
        <w:rPr>
          <w:rFonts w:ascii="Garamond" w:hAnsi="Garamond" w:cs="Times New Roman"/>
          <w:sz w:val="24"/>
          <w:szCs w:val="24"/>
        </w:rPr>
        <w:t xml:space="preserve"> relaci</w:t>
      </w:r>
      <w:r w:rsidR="00496B14" w:rsidRPr="00A2680F">
        <w:rPr>
          <w:rFonts w:ascii="Garamond" w:hAnsi="Garamond" w:cs="Times New Roman"/>
          <w:sz w:val="24"/>
          <w:szCs w:val="24"/>
        </w:rPr>
        <w:t>o</w:t>
      </w:r>
      <w:r w:rsidRPr="00A2680F">
        <w:rPr>
          <w:rFonts w:ascii="Garamond" w:hAnsi="Garamond" w:cs="Times New Roman"/>
          <w:sz w:val="24"/>
          <w:szCs w:val="24"/>
        </w:rPr>
        <w:t>n</w:t>
      </w:r>
      <w:r w:rsidR="00496B14" w:rsidRPr="00A2680F">
        <w:rPr>
          <w:rFonts w:ascii="Garamond" w:hAnsi="Garamond" w:cs="Times New Roman"/>
          <w:sz w:val="24"/>
          <w:szCs w:val="24"/>
        </w:rPr>
        <w:t>es de</w:t>
      </w:r>
      <w:r w:rsidRPr="00A2680F">
        <w:rPr>
          <w:rFonts w:ascii="Garamond" w:hAnsi="Garamond" w:cs="Times New Roman"/>
          <w:sz w:val="24"/>
          <w:szCs w:val="24"/>
        </w:rPr>
        <w:t xml:space="preserve"> dominación</w:t>
      </w:r>
      <w:r w:rsidR="00496B14" w:rsidRPr="00A2680F">
        <w:rPr>
          <w:rFonts w:ascii="Garamond" w:hAnsi="Garamond" w:cs="Times New Roman"/>
          <w:sz w:val="24"/>
          <w:szCs w:val="24"/>
        </w:rPr>
        <w:t xml:space="preserve"> y </w:t>
      </w:r>
      <w:r w:rsidRPr="00A2680F">
        <w:rPr>
          <w:rFonts w:ascii="Garamond" w:hAnsi="Garamond" w:cs="Times New Roman"/>
          <w:sz w:val="24"/>
          <w:szCs w:val="24"/>
        </w:rPr>
        <w:t>resistencia ent</w:t>
      </w:r>
      <w:r w:rsidR="007E73BF" w:rsidRPr="00A2680F">
        <w:rPr>
          <w:rFonts w:ascii="Garamond" w:hAnsi="Garamond" w:cs="Times New Roman"/>
          <w:sz w:val="24"/>
          <w:szCs w:val="24"/>
        </w:rPr>
        <w:t>re amos</w:t>
      </w:r>
      <w:r w:rsidR="00721E87" w:rsidRPr="00A2680F">
        <w:rPr>
          <w:rFonts w:ascii="Garamond" w:hAnsi="Garamond" w:cs="Times New Roman"/>
          <w:sz w:val="24"/>
          <w:szCs w:val="24"/>
        </w:rPr>
        <w:t xml:space="preserve"> y esclavos </w:t>
      </w:r>
      <w:r w:rsidR="0075510E" w:rsidRPr="00A2680F">
        <w:rPr>
          <w:rFonts w:ascii="Garamond" w:hAnsi="Garamond" w:cs="Times New Roman"/>
          <w:sz w:val="24"/>
          <w:szCs w:val="24"/>
        </w:rPr>
        <w:t>a partir de un estudio de caso sucedido a finales del siglo XVIII en la villa de Socorro</w:t>
      </w:r>
      <w:r w:rsidR="00F64260" w:rsidRPr="00A2680F">
        <w:rPr>
          <w:rFonts w:ascii="Garamond" w:hAnsi="Garamond" w:cs="Times New Roman"/>
          <w:sz w:val="24"/>
          <w:szCs w:val="24"/>
        </w:rPr>
        <w:t xml:space="preserve"> (Virreinato del Nuevo Reino de Granada)</w:t>
      </w:r>
      <w:r w:rsidR="00496B14" w:rsidRPr="00A2680F">
        <w:rPr>
          <w:rFonts w:ascii="Garamond" w:hAnsi="Garamond" w:cs="Times New Roman"/>
          <w:sz w:val="24"/>
          <w:szCs w:val="24"/>
        </w:rPr>
        <w:t>.</w:t>
      </w:r>
      <w:r w:rsidR="00366218" w:rsidRPr="00A2680F">
        <w:rPr>
          <w:rFonts w:ascii="Garamond" w:hAnsi="Garamond" w:cs="Times New Roman"/>
          <w:sz w:val="24"/>
          <w:szCs w:val="24"/>
        </w:rPr>
        <w:t xml:space="preserve"> El expediente</w:t>
      </w:r>
      <w:r w:rsidR="00F53786" w:rsidRPr="00A2680F">
        <w:rPr>
          <w:rFonts w:ascii="Garamond" w:hAnsi="Garamond" w:cs="Times New Roman"/>
          <w:sz w:val="24"/>
          <w:szCs w:val="24"/>
        </w:rPr>
        <w:t xml:space="preserve"> judicial</w:t>
      </w:r>
      <w:r w:rsidR="00366218" w:rsidRPr="00A2680F">
        <w:rPr>
          <w:rFonts w:ascii="Garamond" w:hAnsi="Garamond" w:cs="Times New Roman"/>
          <w:sz w:val="24"/>
          <w:szCs w:val="24"/>
        </w:rPr>
        <w:t xml:space="preserve"> ofrece l</w:t>
      </w:r>
      <w:r w:rsidR="00A53555" w:rsidRPr="00A2680F">
        <w:rPr>
          <w:rFonts w:ascii="Garamond" w:hAnsi="Garamond" w:cs="Times New Roman"/>
          <w:sz w:val="24"/>
          <w:szCs w:val="24"/>
        </w:rPr>
        <w:t>as pista</w:t>
      </w:r>
      <w:r w:rsidR="00366218" w:rsidRPr="00A2680F">
        <w:rPr>
          <w:rFonts w:ascii="Garamond" w:hAnsi="Garamond" w:cs="Times New Roman"/>
          <w:sz w:val="24"/>
          <w:szCs w:val="24"/>
        </w:rPr>
        <w:t xml:space="preserve">s de </w:t>
      </w:r>
      <w:r w:rsidR="00E52EBC" w:rsidRPr="00A2680F">
        <w:rPr>
          <w:rFonts w:ascii="Garamond" w:hAnsi="Garamond" w:cs="Times New Roman"/>
          <w:sz w:val="24"/>
          <w:szCs w:val="24"/>
        </w:rPr>
        <w:t>experiencia</w:t>
      </w:r>
      <w:r w:rsidR="00366218" w:rsidRPr="00A2680F">
        <w:rPr>
          <w:rFonts w:ascii="Garamond" w:hAnsi="Garamond" w:cs="Times New Roman"/>
          <w:sz w:val="24"/>
          <w:szCs w:val="24"/>
        </w:rPr>
        <w:t>s cambiantes</w:t>
      </w:r>
      <w:r w:rsidR="00D9299F" w:rsidRPr="00A2680F">
        <w:rPr>
          <w:rFonts w:ascii="Garamond" w:hAnsi="Garamond" w:cs="Times New Roman"/>
          <w:sz w:val="24"/>
          <w:szCs w:val="24"/>
        </w:rPr>
        <w:t>,</w:t>
      </w:r>
      <w:r w:rsidR="00366218" w:rsidRPr="00A2680F">
        <w:rPr>
          <w:rFonts w:ascii="Garamond" w:hAnsi="Garamond" w:cs="Times New Roman"/>
          <w:sz w:val="24"/>
          <w:szCs w:val="24"/>
        </w:rPr>
        <w:t xml:space="preserve"> dinámicas</w:t>
      </w:r>
      <w:r w:rsidR="00D9299F" w:rsidRPr="00A2680F">
        <w:rPr>
          <w:rFonts w:ascii="Garamond" w:hAnsi="Garamond" w:cs="Times New Roman"/>
          <w:sz w:val="24"/>
          <w:szCs w:val="24"/>
        </w:rPr>
        <w:t xml:space="preserve"> y heterogéneas</w:t>
      </w:r>
      <w:r w:rsidR="00366218" w:rsidRPr="00A2680F">
        <w:rPr>
          <w:rFonts w:ascii="Garamond" w:hAnsi="Garamond" w:cs="Times New Roman"/>
          <w:sz w:val="24"/>
          <w:szCs w:val="24"/>
        </w:rPr>
        <w:t xml:space="preserve"> </w:t>
      </w:r>
      <w:r w:rsidR="00B62C5B" w:rsidRPr="00A2680F">
        <w:rPr>
          <w:rFonts w:ascii="Garamond" w:hAnsi="Garamond" w:cs="Times New Roman"/>
          <w:sz w:val="24"/>
          <w:szCs w:val="24"/>
        </w:rPr>
        <w:t>de</w:t>
      </w:r>
      <w:r w:rsidR="00366218" w:rsidRPr="00A2680F">
        <w:rPr>
          <w:rFonts w:ascii="Garamond" w:hAnsi="Garamond" w:cs="Times New Roman"/>
          <w:sz w:val="24"/>
          <w:szCs w:val="24"/>
        </w:rPr>
        <w:t xml:space="preserve"> </w:t>
      </w:r>
      <w:r w:rsidR="00B62C5B" w:rsidRPr="00A2680F">
        <w:rPr>
          <w:rFonts w:ascii="Garamond" w:hAnsi="Garamond" w:cs="Times New Roman"/>
          <w:sz w:val="24"/>
          <w:szCs w:val="24"/>
        </w:rPr>
        <w:t>su</w:t>
      </w:r>
      <w:r w:rsidR="00366218" w:rsidRPr="00A2680F">
        <w:rPr>
          <w:rFonts w:ascii="Garamond" w:hAnsi="Garamond" w:cs="Times New Roman"/>
          <w:sz w:val="24"/>
          <w:szCs w:val="24"/>
        </w:rPr>
        <w:t>s protagonistas</w:t>
      </w:r>
      <w:r w:rsidR="009C57E5" w:rsidRPr="00A2680F">
        <w:rPr>
          <w:rFonts w:ascii="Garamond" w:hAnsi="Garamond" w:cs="Times New Roman"/>
          <w:sz w:val="24"/>
          <w:szCs w:val="24"/>
        </w:rPr>
        <w:t xml:space="preserve">, esto es, las </w:t>
      </w:r>
      <w:r w:rsidR="00D9299F" w:rsidRPr="00A2680F">
        <w:rPr>
          <w:rFonts w:ascii="Garamond" w:hAnsi="Garamond" w:cs="Times New Roman"/>
          <w:sz w:val="24"/>
          <w:szCs w:val="24"/>
        </w:rPr>
        <w:t xml:space="preserve">distintas </w:t>
      </w:r>
      <w:r w:rsidR="009C57E5" w:rsidRPr="00A2680F">
        <w:rPr>
          <w:rFonts w:ascii="Garamond" w:hAnsi="Garamond" w:cs="Times New Roman"/>
          <w:sz w:val="24"/>
          <w:szCs w:val="24"/>
        </w:rPr>
        <w:t xml:space="preserve">posibilidades que amos y esclavos tuvieron en sus </w:t>
      </w:r>
      <w:r w:rsidR="00E52EBC" w:rsidRPr="00A2680F">
        <w:rPr>
          <w:rFonts w:ascii="Garamond" w:hAnsi="Garamond" w:cs="Times New Roman"/>
          <w:sz w:val="24"/>
          <w:szCs w:val="24"/>
        </w:rPr>
        <w:t>relacione</w:t>
      </w:r>
      <w:r w:rsidR="009C57E5" w:rsidRPr="00A2680F">
        <w:rPr>
          <w:rFonts w:ascii="Garamond" w:hAnsi="Garamond" w:cs="Times New Roman"/>
          <w:sz w:val="24"/>
          <w:szCs w:val="24"/>
        </w:rPr>
        <w:t>s</w:t>
      </w:r>
      <w:r w:rsidR="00B62C5B" w:rsidRPr="00A2680F">
        <w:rPr>
          <w:rFonts w:ascii="Garamond" w:hAnsi="Garamond" w:cs="Times New Roman"/>
          <w:sz w:val="24"/>
          <w:szCs w:val="24"/>
        </w:rPr>
        <w:t xml:space="preserve"> </w:t>
      </w:r>
      <w:r w:rsidR="009C57E5" w:rsidRPr="00A2680F">
        <w:rPr>
          <w:rFonts w:ascii="Garamond" w:hAnsi="Garamond" w:cs="Times New Roman"/>
          <w:sz w:val="24"/>
          <w:szCs w:val="24"/>
        </w:rPr>
        <w:t>cotidian</w:t>
      </w:r>
      <w:r w:rsidR="00291B7E" w:rsidRPr="00A2680F">
        <w:rPr>
          <w:rFonts w:ascii="Garamond" w:hAnsi="Garamond" w:cs="Times New Roman"/>
          <w:sz w:val="24"/>
          <w:szCs w:val="24"/>
        </w:rPr>
        <w:t>as</w:t>
      </w:r>
      <w:r w:rsidR="00445821" w:rsidRPr="00A2680F">
        <w:rPr>
          <w:rFonts w:ascii="Garamond" w:hAnsi="Garamond" w:cs="Times New Roman"/>
          <w:sz w:val="24"/>
          <w:szCs w:val="24"/>
        </w:rPr>
        <w:t xml:space="preserve"> entorno de la dicotomía dominación/resis</w:t>
      </w:r>
      <w:r w:rsidR="00130688" w:rsidRPr="00A2680F">
        <w:rPr>
          <w:rFonts w:ascii="Garamond" w:hAnsi="Garamond" w:cs="Times New Roman"/>
          <w:sz w:val="24"/>
          <w:szCs w:val="24"/>
        </w:rPr>
        <w:t>t</w:t>
      </w:r>
      <w:r w:rsidR="00445821" w:rsidRPr="00A2680F">
        <w:rPr>
          <w:rFonts w:ascii="Garamond" w:hAnsi="Garamond" w:cs="Times New Roman"/>
          <w:sz w:val="24"/>
          <w:szCs w:val="24"/>
        </w:rPr>
        <w:t>encia</w:t>
      </w:r>
      <w:r w:rsidR="00366218" w:rsidRPr="00A2680F">
        <w:rPr>
          <w:rFonts w:ascii="Garamond" w:hAnsi="Garamond" w:cs="Times New Roman"/>
          <w:sz w:val="24"/>
          <w:szCs w:val="24"/>
        </w:rPr>
        <w:t>.</w:t>
      </w:r>
      <w:r w:rsidR="00721E87" w:rsidRPr="00A2680F">
        <w:rPr>
          <w:rFonts w:ascii="Garamond" w:hAnsi="Garamond" w:cs="Times New Roman"/>
          <w:sz w:val="24"/>
          <w:szCs w:val="24"/>
        </w:rPr>
        <w:t xml:space="preserve"> </w:t>
      </w:r>
      <w:r w:rsidR="00AD1128" w:rsidRPr="00A2680F">
        <w:rPr>
          <w:rFonts w:ascii="Garamond" w:hAnsi="Garamond" w:cs="Times New Roman"/>
          <w:sz w:val="24"/>
          <w:szCs w:val="24"/>
        </w:rPr>
        <w:t xml:space="preserve">Es vital en este análisis desentrañar los argumentos </w:t>
      </w:r>
      <w:r w:rsidR="00D9038B" w:rsidRPr="00A2680F">
        <w:rPr>
          <w:rFonts w:ascii="Garamond" w:hAnsi="Garamond" w:cs="Times New Roman"/>
          <w:sz w:val="24"/>
          <w:szCs w:val="24"/>
        </w:rPr>
        <w:t>utiliz</w:t>
      </w:r>
      <w:r w:rsidR="00AD1128" w:rsidRPr="00A2680F">
        <w:rPr>
          <w:rFonts w:ascii="Garamond" w:hAnsi="Garamond" w:cs="Times New Roman"/>
          <w:sz w:val="24"/>
          <w:szCs w:val="24"/>
        </w:rPr>
        <w:t>ados por los protagonistas</w:t>
      </w:r>
      <w:r w:rsidR="00B51DE7" w:rsidRPr="00A2680F">
        <w:rPr>
          <w:rFonts w:ascii="Garamond" w:hAnsi="Garamond" w:cs="Times New Roman"/>
          <w:sz w:val="24"/>
          <w:szCs w:val="24"/>
        </w:rPr>
        <w:t xml:space="preserve"> en sus testimonios</w:t>
      </w:r>
      <w:r w:rsidR="00AD1128" w:rsidRPr="00A2680F">
        <w:rPr>
          <w:rFonts w:ascii="Garamond" w:hAnsi="Garamond" w:cs="Times New Roman"/>
          <w:sz w:val="24"/>
          <w:szCs w:val="24"/>
        </w:rPr>
        <w:t xml:space="preserve"> </w:t>
      </w:r>
      <w:r w:rsidR="00ED31FE" w:rsidRPr="00A2680F">
        <w:rPr>
          <w:rFonts w:ascii="Garamond" w:hAnsi="Garamond" w:cs="Times New Roman"/>
          <w:sz w:val="24"/>
          <w:szCs w:val="24"/>
        </w:rPr>
        <w:t>que permiten construir</w:t>
      </w:r>
      <w:r w:rsidR="00AD1128" w:rsidRPr="00A2680F">
        <w:rPr>
          <w:rFonts w:ascii="Garamond" w:hAnsi="Garamond" w:cs="Times New Roman"/>
          <w:sz w:val="24"/>
          <w:szCs w:val="24"/>
        </w:rPr>
        <w:t xml:space="preserve"> mencionada dicotomía. </w:t>
      </w:r>
      <w:r w:rsidR="00C971BC" w:rsidRPr="00A2680F">
        <w:rPr>
          <w:rFonts w:ascii="Garamond" w:hAnsi="Garamond" w:cs="Times New Roman"/>
          <w:sz w:val="24"/>
          <w:szCs w:val="24"/>
        </w:rPr>
        <w:t>Así pues, l</w:t>
      </w:r>
      <w:r w:rsidRPr="00A2680F">
        <w:rPr>
          <w:rFonts w:ascii="Garamond" w:hAnsi="Garamond" w:cs="Times New Roman"/>
          <w:sz w:val="24"/>
          <w:szCs w:val="24"/>
        </w:rPr>
        <w:t>as preguntas que guían el presente escrito</w:t>
      </w:r>
      <w:r w:rsidR="00C022F6" w:rsidRPr="00A2680F">
        <w:rPr>
          <w:rFonts w:ascii="Garamond" w:hAnsi="Garamond" w:cs="Times New Roman"/>
          <w:sz w:val="24"/>
          <w:szCs w:val="24"/>
        </w:rPr>
        <w:t xml:space="preserve"> son</w:t>
      </w:r>
      <w:r w:rsidRPr="00A2680F">
        <w:rPr>
          <w:rFonts w:ascii="Garamond" w:hAnsi="Garamond" w:cs="Times New Roman"/>
          <w:sz w:val="24"/>
          <w:szCs w:val="24"/>
        </w:rPr>
        <w:t xml:space="preserve">: ¿Qué recursos utilizaron los </w:t>
      </w:r>
      <w:r w:rsidR="003600CE" w:rsidRPr="00A2680F">
        <w:rPr>
          <w:rFonts w:ascii="Garamond" w:hAnsi="Garamond" w:cs="Times New Roman"/>
          <w:sz w:val="24"/>
          <w:szCs w:val="24"/>
        </w:rPr>
        <w:t>amo</w:t>
      </w:r>
      <w:r w:rsidRPr="00A2680F">
        <w:rPr>
          <w:rFonts w:ascii="Garamond" w:hAnsi="Garamond" w:cs="Times New Roman"/>
          <w:sz w:val="24"/>
          <w:szCs w:val="24"/>
        </w:rPr>
        <w:t>s para subordinar a sus esclav</w:t>
      </w:r>
      <w:r w:rsidR="003600CE" w:rsidRPr="00A2680F">
        <w:rPr>
          <w:rFonts w:ascii="Garamond" w:hAnsi="Garamond" w:cs="Times New Roman"/>
          <w:sz w:val="24"/>
          <w:szCs w:val="24"/>
        </w:rPr>
        <w:t>izad</w:t>
      </w:r>
      <w:r w:rsidRPr="00A2680F">
        <w:rPr>
          <w:rFonts w:ascii="Garamond" w:hAnsi="Garamond" w:cs="Times New Roman"/>
          <w:sz w:val="24"/>
          <w:szCs w:val="24"/>
        </w:rPr>
        <w:t>os de tal manera que evitaran rebeliones directas a su autoridad? ¿Q</w:t>
      </w:r>
      <w:r w:rsidR="000C7104" w:rsidRPr="00A2680F">
        <w:rPr>
          <w:rFonts w:ascii="Garamond" w:hAnsi="Garamond" w:cs="Times New Roman"/>
          <w:sz w:val="24"/>
          <w:szCs w:val="24"/>
        </w:rPr>
        <w:t>ué tipos de resistencia</w:t>
      </w:r>
      <w:r w:rsidRPr="00A2680F">
        <w:rPr>
          <w:rFonts w:ascii="Garamond" w:hAnsi="Garamond" w:cs="Times New Roman"/>
          <w:sz w:val="24"/>
          <w:szCs w:val="24"/>
        </w:rPr>
        <w:t xml:space="preserve"> establec</w:t>
      </w:r>
      <w:r w:rsidR="000C7104" w:rsidRPr="00A2680F">
        <w:rPr>
          <w:rFonts w:ascii="Garamond" w:hAnsi="Garamond" w:cs="Times New Roman"/>
          <w:sz w:val="24"/>
          <w:szCs w:val="24"/>
        </w:rPr>
        <w:t>i</w:t>
      </w:r>
      <w:r w:rsidRPr="00A2680F">
        <w:rPr>
          <w:rFonts w:ascii="Garamond" w:hAnsi="Garamond" w:cs="Times New Roman"/>
          <w:sz w:val="24"/>
          <w:szCs w:val="24"/>
        </w:rPr>
        <w:t>er</w:t>
      </w:r>
      <w:r w:rsidR="000C7104" w:rsidRPr="00A2680F">
        <w:rPr>
          <w:rFonts w:ascii="Garamond" w:hAnsi="Garamond" w:cs="Times New Roman"/>
          <w:sz w:val="24"/>
          <w:szCs w:val="24"/>
        </w:rPr>
        <w:t xml:space="preserve">on </w:t>
      </w:r>
      <w:r w:rsidRPr="00A2680F">
        <w:rPr>
          <w:rFonts w:ascii="Garamond" w:hAnsi="Garamond" w:cs="Times New Roman"/>
          <w:sz w:val="24"/>
          <w:szCs w:val="24"/>
        </w:rPr>
        <w:t>los esclavos en sociedades donde la fuga fue casi inexistente</w:t>
      </w:r>
      <w:r w:rsidR="004141A3" w:rsidRPr="00A2680F">
        <w:rPr>
          <w:rFonts w:ascii="Garamond" w:hAnsi="Garamond" w:cs="Times New Roman"/>
          <w:sz w:val="24"/>
          <w:szCs w:val="24"/>
        </w:rPr>
        <w:t xml:space="preserve"> como</w:t>
      </w:r>
      <w:r w:rsidR="00C022F6" w:rsidRPr="00A2680F">
        <w:rPr>
          <w:rFonts w:ascii="Garamond" w:hAnsi="Garamond" w:cs="Times New Roman"/>
          <w:sz w:val="24"/>
          <w:szCs w:val="24"/>
        </w:rPr>
        <w:t xml:space="preserve"> en la zona estudiada</w:t>
      </w:r>
      <w:r w:rsidRPr="00A2680F">
        <w:rPr>
          <w:rFonts w:ascii="Garamond" w:hAnsi="Garamond" w:cs="Times New Roman"/>
          <w:sz w:val="24"/>
          <w:szCs w:val="24"/>
        </w:rPr>
        <w:t xml:space="preserve">?  </w:t>
      </w:r>
    </w:p>
    <w:p w14:paraId="5FBCBF58" w14:textId="3CD73943"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Para ello,</w:t>
      </w:r>
      <w:r w:rsidR="00474F30" w:rsidRPr="00A2680F">
        <w:rPr>
          <w:rFonts w:ascii="Garamond" w:hAnsi="Garamond" w:cs="Times New Roman"/>
          <w:sz w:val="24"/>
          <w:szCs w:val="24"/>
        </w:rPr>
        <w:t xml:space="preserve"> el texto se ha estructurado en tres acápites</w:t>
      </w:r>
      <w:r w:rsidR="009E05C8" w:rsidRPr="00A2680F">
        <w:rPr>
          <w:rFonts w:ascii="Garamond" w:hAnsi="Garamond" w:cs="Times New Roman"/>
          <w:sz w:val="24"/>
          <w:szCs w:val="24"/>
        </w:rPr>
        <w:t xml:space="preserve"> que muestran</w:t>
      </w:r>
      <w:r w:rsidR="00721E87" w:rsidRPr="00A2680F">
        <w:rPr>
          <w:rFonts w:ascii="Garamond" w:hAnsi="Garamond" w:cs="Times New Roman"/>
          <w:sz w:val="24"/>
          <w:szCs w:val="24"/>
        </w:rPr>
        <w:t xml:space="preserve"> desde</w:t>
      </w:r>
      <w:r w:rsidR="009E05C8" w:rsidRPr="00A2680F">
        <w:rPr>
          <w:rFonts w:ascii="Garamond" w:hAnsi="Garamond" w:cs="Times New Roman"/>
          <w:sz w:val="24"/>
          <w:szCs w:val="24"/>
        </w:rPr>
        <w:t xml:space="preserve"> las t</w:t>
      </w:r>
      <w:r w:rsidR="00721E87" w:rsidRPr="00A2680F">
        <w:rPr>
          <w:rFonts w:ascii="Garamond" w:hAnsi="Garamond" w:cs="Times New Roman"/>
          <w:sz w:val="24"/>
          <w:szCs w:val="24"/>
        </w:rPr>
        <w:t>ensiones en el ámbito cotidiano</w:t>
      </w:r>
      <w:r w:rsidR="009E05C8" w:rsidRPr="00A2680F">
        <w:rPr>
          <w:rFonts w:ascii="Garamond" w:hAnsi="Garamond" w:cs="Times New Roman"/>
          <w:sz w:val="24"/>
          <w:szCs w:val="24"/>
        </w:rPr>
        <w:t xml:space="preserve"> hasta las expresiones más drásticas de rebeldía</w:t>
      </w:r>
      <w:r w:rsidR="00C022B6" w:rsidRPr="00A2680F">
        <w:rPr>
          <w:rFonts w:ascii="Garamond" w:hAnsi="Garamond" w:cs="Times New Roman"/>
          <w:sz w:val="24"/>
          <w:szCs w:val="24"/>
        </w:rPr>
        <w:t xml:space="preserve"> como el infanticidio</w:t>
      </w:r>
      <w:r w:rsidR="00474F30" w:rsidRPr="00A2680F">
        <w:rPr>
          <w:rFonts w:ascii="Garamond" w:hAnsi="Garamond" w:cs="Times New Roman"/>
          <w:sz w:val="24"/>
          <w:szCs w:val="24"/>
        </w:rPr>
        <w:t>. Se inicia</w:t>
      </w:r>
      <w:r w:rsidRPr="00A2680F">
        <w:rPr>
          <w:rFonts w:ascii="Garamond" w:hAnsi="Garamond" w:cs="Times New Roman"/>
          <w:sz w:val="24"/>
          <w:szCs w:val="24"/>
        </w:rPr>
        <w:t xml:space="preserve"> con </w:t>
      </w:r>
      <w:r w:rsidR="001736E9" w:rsidRPr="00A2680F">
        <w:rPr>
          <w:rFonts w:ascii="Garamond" w:hAnsi="Garamond" w:cs="Times New Roman"/>
          <w:sz w:val="24"/>
          <w:szCs w:val="24"/>
        </w:rPr>
        <w:t>el análisis</w:t>
      </w:r>
      <w:r w:rsidR="006359C0" w:rsidRPr="00A2680F">
        <w:rPr>
          <w:rFonts w:ascii="Garamond" w:hAnsi="Garamond" w:cs="Times New Roman"/>
          <w:sz w:val="24"/>
          <w:szCs w:val="24"/>
        </w:rPr>
        <w:t xml:space="preserve"> </w:t>
      </w:r>
      <w:r w:rsidR="001736E9" w:rsidRPr="00A2680F">
        <w:rPr>
          <w:rFonts w:ascii="Garamond" w:hAnsi="Garamond" w:cs="Times New Roman"/>
          <w:sz w:val="24"/>
          <w:szCs w:val="24"/>
        </w:rPr>
        <w:t>d</w:t>
      </w:r>
      <w:r w:rsidR="006359C0" w:rsidRPr="00A2680F">
        <w:rPr>
          <w:rFonts w:ascii="Garamond" w:hAnsi="Garamond" w:cs="Times New Roman"/>
          <w:sz w:val="24"/>
          <w:szCs w:val="24"/>
        </w:rPr>
        <w:t>e</w:t>
      </w:r>
      <w:r w:rsidR="001736E9" w:rsidRPr="00A2680F">
        <w:rPr>
          <w:rFonts w:ascii="Garamond" w:hAnsi="Garamond" w:cs="Times New Roman"/>
          <w:sz w:val="24"/>
          <w:szCs w:val="24"/>
        </w:rPr>
        <w:t xml:space="preserve"> </w:t>
      </w:r>
      <w:r w:rsidRPr="00A2680F">
        <w:rPr>
          <w:rFonts w:ascii="Garamond" w:hAnsi="Garamond" w:cs="Times New Roman"/>
          <w:sz w:val="24"/>
          <w:szCs w:val="24"/>
        </w:rPr>
        <w:t>las prácticas de dominación llevadas a cabo por los amos de la es</w:t>
      </w:r>
      <w:r w:rsidR="00474F30" w:rsidRPr="00A2680F">
        <w:rPr>
          <w:rFonts w:ascii="Garamond" w:hAnsi="Garamond" w:cs="Times New Roman"/>
          <w:sz w:val="24"/>
          <w:szCs w:val="24"/>
        </w:rPr>
        <w:t>clava Juana María de la Cruz</w:t>
      </w:r>
      <w:r w:rsidR="002B315E" w:rsidRPr="00A2680F">
        <w:rPr>
          <w:rFonts w:ascii="Garamond" w:hAnsi="Garamond" w:cs="Times New Roman"/>
          <w:sz w:val="24"/>
          <w:szCs w:val="24"/>
        </w:rPr>
        <w:t>, llamados don Josef Javier Gómez Plata y doña Victoria Plata</w:t>
      </w:r>
      <w:r w:rsidR="00474F30" w:rsidRPr="00A2680F">
        <w:rPr>
          <w:rFonts w:ascii="Garamond" w:hAnsi="Garamond" w:cs="Times New Roman"/>
          <w:sz w:val="24"/>
          <w:szCs w:val="24"/>
        </w:rPr>
        <w:t>. Luego</w:t>
      </w:r>
      <w:r w:rsidR="009E05C8" w:rsidRPr="00A2680F">
        <w:rPr>
          <w:rFonts w:ascii="Garamond" w:hAnsi="Garamond" w:cs="Times New Roman"/>
          <w:sz w:val="24"/>
          <w:szCs w:val="24"/>
        </w:rPr>
        <w:t>,</w:t>
      </w:r>
      <w:r w:rsidRPr="00A2680F">
        <w:rPr>
          <w:rFonts w:ascii="Garamond" w:hAnsi="Garamond" w:cs="Times New Roman"/>
          <w:sz w:val="24"/>
          <w:szCs w:val="24"/>
        </w:rPr>
        <w:t xml:space="preserve"> se real</w:t>
      </w:r>
      <w:r w:rsidR="00F93499" w:rsidRPr="00A2680F">
        <w:rPr>
          <w:rFonts w:ascii="Garamond" w:hAnsi="Garamond" w:cs="Times New Roman"/>
          <w:sz w:val="24"/>
          <w:szCs w:val="24"/>
        </w:rPr>
        <w:t>iza una reflexión sobre las experiencias de</w:t>
      </w:r>
      <w:r w:rsidR="00E87BC2" w:rsidRPr="00A2680F">
        <w:rPr>
          <w:rFonts w:ascii="Garamond" w:hAnsi="Garamond" w:cs="Times New Roman"/>
          <w:sz w:val="24"/>
          <w:szCs w:val="24"/>
        </w:rPr>
        <w:t xml:space="preserve"> resistencia que la</w:t>
      </w:r>
      <w:r w:rsidRPr="00A2680F">
        <w:rPr>
          <w:rFonts w:ascii="Garamond" w:hAnsi="Garamond" w:cs="Times New Roman"/>
          <w:sz w:val="24"/>
          <w:szCs w:val="24"/>
        </w:rPr>
        <w:t xml:space="preserve"> esclava presentó a sus propietarios para neutralizar la dominación</w:t>
      </w:r>
      <w:r w:rsidR="009E05C8" w:rsidRPr="00A2680F">
        <w:rPr>
          <w:rFonts w:ascii="Garamond" w:hAnsi="Garamond" w:cs="Times New Roman"/>
          <w:sz w:val="24"/>
          <w:szCs w:val="24"/>
        </w:rPr>
        <w:t>, que derivó en el infanticidio</w:t>
      </w:r>
      <w:r w:rsidRPr="00A2680F">
        <w:rPr>
          <w:rFonts w:ascii="Garamond" w:hAnsi="Garamond" w:cs="Times New Roman"/>
          <w:sz w:val="24"/>
          <w:szCs w:val="24"/>
        </w:rPr>
        <w:t xml:space="preserve">. </w:t>
      </w:r>
      <w:r w:rsidR="001736E9" w:rsidRPr="00A2680F">
        <w:rPr>
          <w:rFonts w:ascii="Garamond" w:hAnsi="Garamond" w:cs="Times New Roman"/>
          <w:sz w:val="24"/>
          <w:szCs w:val="24"/>
        </w:rPr>
        <w:t>El texto finaliza con</w:t>
      </w:r>
      <w:r w:rsidRPr="00A2680F">
        <w:rPr>
          <w:rFonts w:ascii="Garamond" w:hAnsi="Garamond" w:cs="Times New Roman"/>
          <w:sz w:val="24"/>
          <w:szCs w:val="24"/>
        </w:rPr>
        <w:t xml:space="preserve"> </w:t>
      </w:r>
      <w:r w:rsidR="00474F30" w:rsidRPr="00A2680F">
        <w:rPr>
          <w:rFonts w:ascii="Garamond" w:hAnsi="Garamond" w:cs="Times New Roman"/>
          <w:sz w:val="24"/>
          <w:szCs w:val="24"/>
        </w:rPr>
        <w:t xml:space="preserve">una aproximación a la manera como </w:t>
      </w:r>
      <w:r w:rsidR="00C022B6" w:rsidRPr="00A2680F">
        <w:rPr>
          <w:rFonts w:ascii="Garamond" w:hAnsi="Garamond" w:cs="Times New Roman"/>
          <w:sz w:val="24"/>
          <w:szCs w:val="24"/>
        </w:rPr>
        <w:t>el honor de los amos fue puesto en</w:t>
      </w:r>
      <w:r w:rsidR="009E07B1" w:rsidRPr="00A2680F">
        <w:rPr>
          <w:rFonts w:ascii="Garamond" w:hAnsi="Garamond" w:cs="Times New Roman"/>
          <w:sz w:val="24"/>
          <w:szCs w:val="24"/>
        </w:rPr>
        <w:t xml:space="preserve"> entredicho</w:t>
      </w:r>
      <w:r w:rsidR="00C022B6" w:rsidRPr="00A2680F">
        <w:rPr>
          <w:rFonts w:ascii="Garamond" w:hAnsi="Garamond" w:cs="Times New Roman"/>
          <w:sz w:val="24"/>
          <w:szCs w:val="24"/>
        </w:rPr>
        <w:t xml:space="preserve"> </w:t>
      </w:r>
      <w:r w:rsidR="009E07B1" w:rsidRPr="00A2680F">
        <w:rPr>
          <w:rFonts w:ascii="Garamond" w:hAnsi="Garamond" w:cs="Times New Roman"/>
          <w:sz w:val="24"/>
          <w:szCs w:val="24"/>
        </w:rPr>
        <w:t xml:space="preserve">por </w:t>
      </w:r>
      <w:r w:rsidR="00C022B6" w:rsidRPr="00A2680F">
        <w:rPr>
          <w:rFonts w:ascii="Garamond" w:hAnsi="Garamond" w:cs="Times New Roman"/>
          <w:sz w:val="24"/>
          <w:szCs w:val="24"/>
        </w:rPr>
        <w:t xml:space="preserve">el delito de su esclava, y cómo don Javier se valió de los mecanismos </w:t>
      </w:r>
      <w:r w:rsidR="008E6323" w:rsidRPr="00A2680F">
        <w:rPr>
          <w:rFonts w:ascii="Garamond" w:hAnsi="Garamond" w:cs="Times New Roman"/>
          <w:sz w:val="24"/>
          <w:szCs w:val="24"/>
        </w:rPr>
        <w:t xml:space="preserve">judiciales </w:t>
      </w:r>
      <w:r w:rsidR="00C022B6" w:rsidRPr="00A2680F">
        <w:rPr>
          <w:rFonts w:ascii="Garamond" w:hAnsi="Garamond" w:cs="Times New Roman"/>
          <w:sz w:val="24"/>
          <w:szCs w:val="24"/>
        </w:rPr>
        <w:t>para</w:t>
      </w:r>
      <w:r w:rsidR="009E07B1" w:rsidRPr="00A2680F">
        <w:rPr>
          <w:rFonts w:ascii="Garamond" w:hAnsi="Garamond" w:cs="Times New Roman"/>
          <w:sz w:val="24"/>
          <w:szCs w:val="24"/>
        </w:rPr>
        <w:t xml:space="preserve"> </w:t>
      </w:r>
      <w:r w:rsidR="002860D0" w:rsidRPr="00A2680F">
        <w:rPr>
          <w:rFonts w:ascii="Garamond" w:hAnsi="Garamond" w:cs="Times New Roman"/>
          <w:sz w:val="24"/>
          <w:szCs w:val="24"/>
        </w:rPr>
        <w:t>ratificarlo</w:t>
      </w:r>
      <w:r w:rsidR="00A3391C" w:rsidRPr="00A2680F">
        <w:rPr>
          <w:rFonts w:ascii="Garamond" w:hAnsi="Garamond" w:cs="Times New Roman"/>
          <w:sz w:val="24"/>
          <w:szCs w:val="24"/>
        </w:rPr>
        <w:t>.</w:t>
      </w:r>
    </w:p>
    <w:p w14:paraId="670584A2" w14:textId="27BC9057"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El expediente an</w:t>
      </w:r>
      <w:r w:rsidR="0077641E" w:rsidRPr="00A2680F">
        <w:rPr>
          <w:rFonts w:ascii="Garamond" w:hAnsi="Garamond" w:cs="Times New Roman"/>
          <w:sz w:val="24"/>
          <w:szCs w:val="24"/>
        </w:rPr>
        <w:t>alizado</w:t>
      </w:r>
      <w:r w:rsidRPr="00A2680F">
        <w:rPr>
          <w:rFonts w:ascii="Garamond" w:hAnsi="Garamond" w:cs="Times New Roman"/>
          <w:sz w:val="24"/>
          <w:szCs w:val="24"/>
        </w:rPr>
        <w:t xml:space="preserve"> trata del homi</w:t>
      </w:r>
      <w:r w:rsidR="009A255D" w:rsidRPr="00A2680F">
        <w:rPr>
          <w:rFonts w:ascii="Garamond" w:hAnsi="Garamond" w:cs="Times New Roman"/>
          <w:sz w:val="24"/>
          <w:szCs w:val="24"/>
        </w:rPr>
        <w:t>cidio de dos peque</w:t>
      </w:r>
      <w:r w:rsidR="00856961" w:rsidRPr="00A2680F">
        <w:rPr>
          <w:rFonts w:ascii="Garamond" w:hAnsi="Garamond" w:cs="Times New Roman"/>
          <w:sz w:val="24"/>
          <w:szCs w:val="24"/>
        </w:rPr>
        <w:t>ñas mulatas</w:t>
      </w:r>
      <w:r w:rsidRPr="00A2680F">
        <w:rPr>
          <w:rFonts w:ascii="Garamond" w:hAnsi="Garamond" w:cs="Times New Roman"/>
          <w:sz w:val="24"/>
          <w:szCs w:val="24"/>
        </w:rPr>
        <w:t xml:space="preserve"> por su madre esclav</w:t>
      </w:r>
      <w:r w:rsidR="001D23AC" w:rsidRPr="00A2680F">
        <w:rPr>
          <w:rFonts w:ascii="Garamond" w:hAnsi="Garamond" w:cs="Times New Roman"/>
          <w:sz w:val="24"/>
          <w:szCs w:val="24"/>
        </w:rPr>
        <w:t>a</w:t>
      </w:r>
      <w:r w:rsidR="009E05C8" w:rsidRPr="00A2680F">
        <w:rPr>
          <w:rFonts w:ascii="Garamond" w:hAnsi="Garamond" w:cs="Times New Roman"/>
          <w:sz w:val="24"/>
          <w:szCs w:val="24"/>
        </w:rPr>
        <w:t>, hecho acontecido</w:t>
      </w:r>
      <w:r w:rsidR="001D23AC" w:rsidRPr="00A2680F">
        <w:rPr>
          <w:rFonts w:ascii="Garamond" w:hAnsi="Garamond" w:cs="Times New Roman"/>
          <w:sz w:val="24"/>
          <w:szCs w:val="24"/>
        </w:rPr>
        <w:t xml:space="preserve"> en la villa del Socorro en el</w:t>
      </w:r>
      <w:r w:rsidRPr="00A2680F">
        <w:rPr>
          <w:rFonts w:ascii="Garamond" w:hAnsi="Garamond" w:cs="Times New Roman"/>
          <w:sz w:val="24"/>
          <w:szCs w:val="24"/>
        </w:rPr>
        <w:t xml:space="preserve"> mes de marzo de 1796. El documento se halla en el Archiv</w:t>
      </w:r>
      <w:r w:rsidR="00856961" w:rsidRPr="00A2680F">
        <w:rPr>
          <w:rFonts w:ascii="Garamond" w:hAnsi="Garamond" w:cs="Times New Roman"/>
          <w:sz w:val="24"/>
          <w:szCs w:val="24"/>
        </w:rPr>
        <w:t>o General de la Nación</w:t>
      </w:r>
      <w:r w:rsidRPr="00A2680F">
        <w:rPr>
          <w:rFonts w:ascii="Garamond" w:hAnsi="Garamond" w:cs="Times New Roman"/>
          <w:sz w:val="24"/>
          <w:szCs w:val="24"/>
        </w:rPr>
        <w:t xml:space="preserve"> (</w:t>
      </w:r>
      <w:r w:rsidR="00856961" w:rsidRPr="00A2680F">
        <w:rPr>
          <w:rFonts w:ascii="Garamond" w:hAnsi="Garamond" w:cs="Times New Roman"/>
          <w:sz w:val="24"/>
          <w:szCs w:val="24"/>
        </w:rPr>
        <w:t>Bogotá-</w:t>
      </w:r>
      <w:r w:rsidRPr="00A2680F">
        <w:rPr>
          <w:rFonts w:ascii="Garamond" w:hAnsi="Garamond" w:cs="Times New Roman"/>
          <w:sz w:val="24"/>
          <w:szCs w:val="24"/>
        </w:rPr>
        <w:t>Colombia). El nombre de la esclava</w:t>
      </w:r>
      <w:r w:rsidR="009A255D" w:rsidRPr="00A2680F">
        <w:rPr>
          <w:rFonts w:ascii="Garamond" w:hAnsi="Garamond" w:cs="Times New Roman"/>
          <w:sz w:val="24"/>
          <w:szCs w:val="24"/>
        </w:rPr>
        <w:t xml:space="preserve"> filicida</w:t>
      </w:r>
      <w:r w:rsidRPr="00A2680F">
        <w:rPr>
          <w:rFonts w:ascii="Garamond" w:hAnsi="Garamond" w:cs="Times New Roman"/>
          <w:sz w:val="24"/>
          <w:szCs w:val="24"/>
        </w:rPr>
        <w:t xml:space="preserve"> era Juana María de la Cruz, “alta de cuerpo, gorda, color mestizo, ojo blanco”</w:t>
      </w:r>
      <w:r w:rsidRPr="00A2680F">
        <w:rPr>
          <w:rStyle w:val="Refdenotaalpie"/>
          <w:rFonts w:ascii="Garamond" w:hAnsi="Garamond" w:cs="Times New Roman"/>
          <w:sz w:val="24"/>
          <w:szCs w:val="24"/>
        </w:rPr>
        <w:footnoteReference w:id="1"/>
      </w:r>
      <w:r w:rsidRPr="00A2680F">
        <w:rPr>
          <w:rFonts w:ascii="Garamond" w:hAnsi="Garamond" w:cs="Times New Roman"/>
          <w:sz w:val="24"/>
          <w:szCs w:val="24"/>
        </w:rPr>
        <w:t>, quien ahogó a sus hijas</w:t>
      </w:r>
      <w:r w:rsidR="00856961" w:rsidRPr="00A2680F">
        <w:rPr>
          <w:rFonts w:ascii="Garamond" w:hAnsi="Garamond" w:cs="Times New Roman"/>
          <w:sz w:val="24"/>
          <w:szCs w:val="24"/>
        </w:rPr>
        <w:t xml:space="preserve"> </w:t>
      </w:r>
      <w:r w:rsidR="009E07B1" w:rsidRPr="00A2680F">
        <w:rPr>
          <w:rFonts w:ascii="Garamond" w:hAnsi="Garamond" w:cs="Times New Roman"/>
          <w:sz w:val="24"/>
          <w:szCs w:val="24"/>
        </w:rPr>
        <w:t>(</w:t>
      </w:r>
      <w:r w:rsidR="00856961" w:rsidRPr="00A2680F">
        <w:rPr>
          <w:rFonts w:ascii="Garamond" w:hAnsi="Garamond" w:cs="Times New Roman"/>
          <w:sz w:val="24"/>
          <w:szCs w:val="24"/>
        </w:rPr>
        <w:t xml:space="preserve">María Mónica de unos 5 años y María Eulalia </w:t>
      </w:r>
      <w:r w:rsidR="006750BA" w:rsidRPr="00A2680F">
        <w:rPr>
          <w:rFonts w:ascii="Garamond" w:hAnsi="Garamond" w:cs="Times New Roman"/>
          <w:sz w:val="24"/>
          <w:szCs w:val="24"/>
        </w:rPr>
        <w:t>“</w:t>
      </w:r>
      <w:r w:rsidR="00856961" w:rsidRPr="00A2680F">
        <w:rPr>
          <w:rFonts w:ascii="Garamond" w:hAnsi="Garamond" w:cs="Times New Roman"/>
          <w:sz w:val="24"/>
          <w:szCs w:val="24"/>
        </w:rPr>
        <w:t>párvula</w:t>
      </w:r>
      <w:r w:rsidR="006750BA" w:rsidRPr="00A2680F">
        <w:rPr>
          <w:rFonts w:ascii="Garamond" w:hAnsi="Garamond" w:cs="Times New Roman"/>
          <w:sz w:val="24"/>
          <w:szCs w:val="24"/>
        </w:rPr>
        <w:t>”</w:t>
      </w:r>
      <w:r w:rsidR="009E07B1" w:rsidRPr="00A2680F">
        <w:rPr>
          <w:rFonts w:ascii="Garamond" w:hAnsi="Garamond" w:cs="Times New Roman"/>
          <w:sz w:val="24"/>
          <w:szCs w:val="24"/>
        </w:rPr>
        <w:t>)</w:t>
      </w:r>
      <w:r w:rsidRPr="00A2680F">
        <w:rPr>
          <w:rFonts w:ascii="Garamond" w:hAnsi="Garamond" w:cs="Times New Roman"/>
          <w:sz w:val="24"/>
          <w:szCs w:val="24"/>
        </w:rPr>
        <w:t xml:space="preserve"> en el pozo de agua ubicado en la propiedad de su</w:t>
      </w:r>
      <w:r w:rsidR="009E07B1" w:rsidRPr="00A2680F">
        <w:rPr>
          <w:rFonts w:ascii="Garamond" w:hAnsi="Garamond" w:cs="Times New Roman"/>
          <w:sz w:val="24"/>
          <w:szCs w:val="24"/>
        </w:rPr>
        <w:t xml:space="preserve"> dueñ</w:t>
      </w:r>
      <w:r w:rsidRPr="00A2680F">
        <w:rPr>
          <w:rFonts w:ascii="Garamond" w:hAnsi="Garamond" w:cs="Times New Roman"/>
          <w:sz w:val="24"/>
          <w:szCs w:val="24"/>
        </w:rPr>
        <w:t>o. Luego de realizar el delito se presentó a la justicia ordinaria</w:t>
      </w:r>
      <w:r w:rsidR="001A3CCA" w:rsidRPr="00A2680F">
        <w:rPr>
          <w:rFonts w:ascii="Garamond" w:hAnsi="Garamond" w:cs="Times New Roman"/>
          <w:sz w:val="24"/>
          <w:szCs w:val="24"/>
        </w:rPr>
        <w:t xml:space="preserve"> del Socorro</w:t>
      </w:r>
      <w:r w:rsidRPr="00A2680F">
        <w:rPr>
          <w:rStyle w:val="Refdenotaalpie"/>
          <w:rFonts w:ascii="Garamond" w:hAnsi="Garamond" w:cs="Times New Roman"/>
          <w:sz w:val="24"/>
          <w:szCs w:val="24"/>
        </w:rPr>
        <w:footnoteReference w:id="2"/>
      </w:r>
      <w:r w:rsidR="001A3CCA" w:rsidRPr="00A2680F">
        <w:rPr>
          <w:rFonts w:ascii="Garamond" w:hAnsi="Garamond" w:cs="Times New Roman"/>
          <w:sz w:val="24"/>
          <w:szCs w:val="24"/>
        </w:rPr>
        <w:t xml:space="preserve"> aceptando su culpa</w:t>
      </w:r>
      <w:r w:rsidRPr="00A2680F">
        <w:rPr>
          <w:rFonts w:ascii="Garamond" w:hAnsi="Garamond" w:cs="Times New Roman"/>
          <w:sz w:val="24"/>
          <w:szCs w:val="24"/>
        </w:rPr>
        <w:t xml:space="preserve">. </w:t>
      </w:r>
      <w:r w:rsidR="0014318C" w:rsidRPr="00A2680F">
        <w:rPr>
          <w:rFonts w:ascii="Garamond" w:hAnsi="Garamond" w:cs="Times New Roman"/>
          <w:sz w:val="24"/>
          <w:szCs w:val="24"/>
        </w:rPr>
        <w:t>Este caso</w:t>
      </w:r>
      <w:r w:rsidR="00695496" w:rsidRPr="00A2680F">
        <w:rPr>
          <w:rFonts w:ascii="Garamond" w:hAnsi="Garamond" w:cs="Times New Roman"/>
          <w:sz w:val="24"/>
          <w:szCs w:val="24"/>
        </w:rPr>
        <w:t xml:space="preserve"> ha sido </w:t>
      </w:r>
      <w:r w:rsidR="0077641E" w:rsidRPr="00A2680F">
        <w:rPr>
          <w:rFonts w:ascii="Garamond" w:hAnsi="Garamond" w:cs="Times New Roman"/>
          <w:sz w:val="24"/>
          <w:szCs w:val="24"/>
        </w:rPr>
        <w:t xml:space="preserve">someramente </w:t>
      </w:r>
      <w:r w:rsidR="00695496" w:rsidRPr="00A2680F">
        <w:rPr>
          <w:rFonts w:ascii="Garamond" w:hAnsi="Garamond" w:cs="Times New Roman"/>
          <w:sz w:val="24"/>
          <w:szCs w:val="24"/>
        </w:rPr>
        <w:t xml:space="preserve">mencionado anteriormente por Virginia Gutiérrez y Roberto Pineda en su obra </w:t>
      </w:r>
      <w:r w:rsidR="00695496" w:rsidRPr="00A2680F">
        <w:rPr>
          <w:rFonts w:ascii="Garamond" w:hAnsi="Garamond" w:cs="Times New Roman"/>
          <w:i/>
          <w:iCs/>
          <w:sz w:val="24"/>
          <w:szCs w:val="24"/>
        </w:rPr>
        <w:t>Miscegenación y Cultura en la Colombia colonial, 1750-1810</w:t>
      </w:r>
      <w:r w:rsidR="00781CD0" w:rsidRPr="00A2680F">
        <w:rPr>
          <w:rStyle w:val="Refdenotaalpie"/>
          <w:rFonts w:ascii="Garamond" w:hAnsi="Garamond" w:cs="Times New Roman"/>
          <w:sz w:val="24"/>
          <w:szCs w:val="24"/>
        </w:rPr>
        <w:footnoteReference w:id="3"/>
      </w:r>
      <w:r w:rsidR="00695496" w:rsidRPr="00A2680F">
        <w:rPr>
          <w:rFonts w:ascii="Garamond" w:hAnsi="Garamond" w:cs="Times New Roman"/>
          <w:sz w:val="24"/>
          <w:szCs w:val="24"/>
        </w:rPr>
        <w:t>. Además,</w:t>
      </w:r>
      <w:r w:rsidR="0014318C" w:rsidRPr="00A2680F">
        <w:rPr>
          <w:rFonts w:ascii="Garamond" w:hAnsi="Garamond" w:cs="Times New Roman"/>
          <w:sz w:val="24"/>
          <w:szCs w:val="24"/>
        </w:rPr>
        <w:t xml:space="preserve"> no es el único presentado en el territorio neogranadino, pues por otros estudios se sabe </w:t>
      </w:r>
      <w:r w:rsidR="0014318C" w:rsidRPr="00A2680F">
        <w:rPr>
          <w:rFonts w:ascii="Garamond" w:hAnsi="Garamond" w:cs="Times New Roman"/>
          <w:sz w:val="24"/>
          <w:szCs w:val="24"/>
        </w:rPr>
        <w:lastRenderedPageBreak/>
        <w:t>de infanticidios cometidos por esclavos en Barbacoas</w:t>
      </w:r>
      <w:r w:rsidR="00045EBA" w:rsidRPr="00A2680F">
        <w:rPr>
          <w:rFonts w:ascii="Garamond" w:hAnsi="Garamond" w:cs="Times New Roman"/>
          <w:sz w:val="24"/>
          <w:szCs w:val="24"/>
        </w:rPr>
        <w:t xml:space="preserve">, </w:t>
      </w:r>
      <w:r w:rsidR="00BC25C9" w:rsidRPr="00A2680F">
        <w:rPr>
          <w:rFonts w:ascii="Garamond" w:hAnsi="Garamond" w:cs="Times New Roman"/>
          <w:sz w:val="24"/>
          <w:szCs w:val="24"/>
        </w:rPr>
        <w:t>Purificación</w:t>
      </w:r>
      <w:r w:rsidR="004014B8" w:rsidRPr="00A2680F">
        <w:rPr>
          <w:rFonts w:ascii="Garamond" w:hAnsi="Garamond" w:cs="Times New Roman"/>
          <w:sz w:val="24"/>
          <w:szCs w:val="24"/>
        </w:rPr>
        <w:t>, Cartagena</w:t>
      </w:r>
      <w:r w:rsidR="0014318C" w:rsidRPr="00A2680F">
        <w:rPr>
          <w:rFonts w:ascii="Garamond" w:hAnsi="Garamond" w:cs="Times New Roman"/>
          <w:sz w:val="24"/>
          <w:szCs w:val="24"/>
        </w:rPr>
        <w:t xml:space="preserve"> y </w:t>
      </w:r>
      <w:r w:rsidR="003F4979" w:rsidRPr="00A2680F">
        <w:rPr>
          <w:rFonts w:ascii="Garamond" w:hAnsi="Garamond" w:cs="Times New Roman"/>
          <w:sz w:val="24"/>
          <w:szCs w:val="24"/>
        </w:rPr>
        <w:t xml:space="preserve">en </w:t>
      </w:r>
      <w:r w:rsidR="001F338F" w:rsidRPr="00A2680F">
        <w:rPr>
          <w:rFonts w:ascii="Garamond" w:hAnsi="Garamond" w:cs="Times New Roman"/>
          <w:sz w:val="24"/>
          <w:szCs w:val="24"/>
        </w:rPr>
        <w:t xml:space="preserve">la provincia de </w:t>
      </w:r>
      <w:r w:rsidR="0014318C" w:rsidRPr="00A2680F">
        <w:rPr>
          <w:rFonts w:ascii="Garamond" w:hAnsi="Garamond" w:cs="Times New Roman"/>
          <w:sz w:val="24"/>
          <w:szCs w:val="24"/>
        </w:rPr>
        <w:t>Antioqu</w:t>
      </w:r>
      <w:r w:rsidR="00840888" w:rsidRPr="00A2680F">
        <w:rPr>
          <w:rFonts w:ascii="Garamond" w:hAnsi="Garamond" w:cs="Times New Roman"/>
          <w:sz w:val="24"/>
          <w:szCs w:val="24"/>
        </w:rPr>
        <w:t>ia</w:t>
      </w:r>
      <w:r w:rsidR="00781CD0" w:rsidRPr="00A2680F">
        <w:rPr>
          <w:rStyle w:val="Refdenotaalpie"/>
          <w:rFonts w:ascii="Garamond" w:hAnsi="Garamond" w:cs="Times New Roman"/>
          <w:sz w:val="24"/>
          <w:szCs w:val="24"/>
        </w:rPr>
        <w:footnoteReference w:id="4"/>
      </w:r>
      <w:r w:rsidR="0014318C" w:rsidRPr="00A2680F">
        <w:rPr>
          <w:rFonts w:ascii="Garamond" w:hAnsi="Garamond" w:cs="Times New Roman"/>
          <w:sz w:val="24"/>
          <w:szCs w:val="24"/>
        </w:rPr>
        <w:t xml:space="preserve">. </w:t>
      </w:r>
    </w:p>
    <w:p w14:paraId="562E168E" w14:textId="77777777" w:rsidR="0039467F" w:rsidRPr="00A2680F" w:rsidRDefault="0039467F" w:rsidP="00A2680F">
      <w:pPr>
        <w:jc w:val="both"/>
        <w:rPr>
          <w:rFonts w:ascii="Garamond" w:hAnsi="Garamond" w:cs="Times New Roman"/>
          <w:sz w:val="24"/>
          <w:szCs w:val="24"/>
        </w:rPr>
      </w:pPr>
    </w:p>
    <w:p w14:paraId="59BE29BF" w14:textId="2714708A"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La justicia</w:t>
      </w:r>
      <w:r w:rsidR="001A3CCA" w:rsidRPr="00A2680F">
        <w:rPr>
          <w:rFonts w:ascii="Garamond" w:hAnsi="Garamond" w:cs="Times New Roman"/>
          <w:sz w:val="24"/>
          <w:szCs w:val="24"/>
        </w:rPr>
        <w:t xml:space="preserve"> local</w:t>
      </w:r>
      <w:r w:rsidRPr="00A2680F">
        <w:rPr>
          <w:rFonts w:ascii="Garamond" w:hAnsi="Garamond" w:cs="Times New Roman"/>
          <w:sz w:val="24"/>
          <w:szCs w:val="24"/>
        </w:rPr>
        <w:t xml:space="preserve"> en sus diligencias iniciales, como era habitual en estos casos, tomó los primeros testimonios que probaron la culpabilidad de </w:t>
      </w:r>
      <w:r w:rsidR="001A3CCA" w:rsidRPr="00A2680F">
        <w:rPr>
          <w:rFonts w:ascii="Garamond" w:hAnsi="Garamond" w:cs="Times New Roman"/>
          <w:sz w:val="24"/>
          <w:szCs w:val="24"/>
        </w:rPr>
        <w:t xml:space="preserve">Juana María. La mulata explicó </w:t>
      </w:r>
      <w:r w:rsidRPr="00A2680F">
        <w:rPr>
          <w:rFonts w:ascii="Garamond" w:hAnsi="Garamond" w:cs="Times New Roman"/>
          <w:sz w:val="24"/>
          <w:szCs w:val="24"/>
        </w:rPr>
        <w:t>en su declaración que había quitado la</w:t>
      </w:r>
      <w:r w:rsidR="00721E87" w:rsidRPr="00A2680F">
        <w:rPr>
          <w:rFonts w:ascii="Garamond" w:hAnsi="Garamond" w:cs="Times New Roman"/>
          <w:sz w:val="24"/>
          <w:szCs w:val="24"/>
        </w:rPr>
        <w:t xml:space="preserve"> vida a sus hijas por los mal</w:t>
      </w:r>
      <w:r w:rsidRPr="00A2680F">
        <w:rPr>
          <w:rFonts w:ascii="Garamond" w:hAnsi="Garamond" w:cs="Times New Roman"/>
          <w:sz w:val="24"/>
          <w:szCs w:val="24"/>
        </w:rPr>
        <w:t>tratos de su ama y la condición miserable en que se hallaban. Por su parte, su amo desmintió los tratos inhumanos y, además denigró la calidad moral de Juana María. El 25 de mayo de aquel año la esclava huyó de la cárcel del divorcio</w:t>
      </w:r>
      <w:r w:rsidR="0003194C" w:rsidRPr="00A2680F">
        <w:rPr>
          <w:rFonts w:ascii="Garamond" w:hAnsi="Garamond" w:cs="Times New Roman"/>
          <w:sz w:val="24"/>
          <w:szCs w:val="24"/>
        </w:rPr>
        <w:t xml:space="preserve"> de la villa del Socorro</w:t>
      </w:r>
      <w:r w:rsidRPr="00A2680F">
        <w:rPr>
          <w:rFonts w:ascii="Garamond" w:hAnsi="Garamond" w:cs="Times New Roman"/>
          <w:sz w:val="24"/>
          <w:szCs w:val="24"/>
        </w:rPr>
        <w:t>, y según algunos testigos se ahogó en el río Suárez. Sin embargo, el proceso continuó en su ausencia hasta el dictamen de la sentencia: la pena de muerte. En octubre de 1805 el caso llegó a manos de los jueces de la Real Audiencia</w:t>
      </w:r>
      <w:r w:rsidRPr="00A2680F">
        <w:rPr>
          <w:rStyle w:val="Refdenotaalpie"/>
          <w:rFonts w:ascii="Garamond" w:hAnsi="Garamond" w:cs="Times New Roman"/>
          <w:sz w:val="24"/>
          <w:szCs w:val="24"/>
        </w:rPr>
        <w:footnoteReference w:id="5"/>
      </w:r>
      <w:r w:rsidRPr="00A2680F">
        <w:rPr>
          <w:rFonts w:ascii="Garamond" w:hAnsi="Garamond" w:cs="Times New Roman"/>
          <w:sz w:val="24"/>
          <w:szCs w:val="24"/>
        </w:rPr>
        <w:t xml:space="preserve"> de Santafé, capital del Virreinato de la Nueva Granada. Por medio del protector de esclavos y </w:t>
      </w:r>
      <w:r w:rsidR="00357DC4" w:rsidRPr="00A2680F">
        <w:rPr>
          <w:rFonts w:ascii="Garamond" w:hAnsi="Garamond" w:cs="Times New Roman"/>
          <w:sz w:val="24"/>
          <w:szCs w:val="24"/>
        </w:rPr>
        <w:t>d</w:t>
      </w:r>
      <w:r w:rsidRPr="00A2680F">
        <w:rPr>
          <w:rFonts w:ascii="Garamond" w:hAnsi="Garamond" w:cs="Times New Roman"/>
          <w:sz w:val="24"/>
          <w:szCs w:val="24"/>
        </w:rPr>
        <w:t>el fiscal se estipuló que el proceso había sido llevado de manera irregular, por lo que se declaró nula la causa, se solicitó a las autoridades del Socorro volver a iniciar el caso y se multó con 25 pesos a los al</w:t>
      </w:r>
      <w:r w:rsidR="00800ED0" w:rsidRPr="00A2680F">
        <w:rPr>
          <w:rFonts w:ascii="Garamond" w:hAnsi="Garamond" w:cs="Times New Roman"/>
          <w:sz w:val="24"/>
          <w:szCs w:val="24"/>
        </w:rPr>
        <w:t>caldes ordinarios responsables del mismo</w:t>
      </w:r>
      <w:r w:rsidRPr="00A2680F">
        <w:rPr>
          <w:rFonts w:ascii="Garamond" w:hAnsi="Garamond" w:cs="Times New Roman"/>
          <w:sz w:val="24"/>
          <w:szCs w:val="24"/>
        </w:rPr>
        <w:t xml:space="preserve"> desde 1796 a 1804.</w:t>
      </w:r>
    </w:p>
    <w:p w14:paraId="208BD925" w14:textId="77777777" w:rsidR="0039467F" w:rsidRPr="00A2680F" w:rsidRDefault="0039467F" w:rsidP="00A2680F">
      <w:pPr>
        <w:jc w:val="both"/>
        <w:rPr>
          <w:rFonts w:ascii="Garamond" w:hAnsi="Garamond" w:cs="Times New Roman"/>
          <w:sz w:val="24"/>
          <w:szCs w:val="24"/>
        </w:rPr>
      </w:pPr>
    </w:p>
    <w:p w14:paraId="6F5457A1" w14:textId="697E3EFF" w:rsidR="00066AFD" w:rsidRPr="00A2680F" w:rsidRDefault="000152B2" w:rsidP="00A2680F">
      <w:pPr>
        <w:jc w:val="both"/>
        <w:rPr>
          <w:rFonts w:ascii="Garamond" w:hAnsi="Garamond" w:cs="Times New Roman"/>
          <w:sz w:val="24"/>
          <w:szCs w:val="24"/>
        </w:rPr>
      </w:pPr>
      <w:r w:rsidRPr="00A2680F">
        <w:rPr>
          <w:rFonts w:ascii="Garamond" w:hAnsi="Garamond" w:cs="Times New Roman"/>
          <w:sz w:val="24"/>
          <w:szCs w:val="24"/>
        </w:rPr>
        <w:t>El esc</w:t>
      </w:r>
      <w:r w:rsidR="001D402C" w:rsidRPr="00A2680F">
        <w:rPr>
          <w:rFonts w:ascii="Garamond" w:hAnsi="Garamond" w:cs="Times New Roman"/>
          <w:sz w:val="24"/>
          <w:szCs w:val="24"/>
        </w:rPr>
        <w:t>enario del caso estudiado</w:t>
      </w:r>
      <w:r w:rsidRPr="00A2680F">
        <w:rPr>
          <w:rFonts w:ascii="Garamond" w:hAnsi="Garamond" w:cs="Times New Roman"/>
          <w:sz w:val="24"/>
          <w:szCs w:val="24"/>
        </w:rPr>
        <w:t xml:space="preserve"> es la villa del Socorro, un próspero centro urbano en la cordillera oriental andina</w:t>
      </w:r>
      <w:r w:rsidR="00690BDC" w:rsidRPr="00A2680F">
        <w:rPr>
          <w:rFonts w:ascii="Garamond" w:hAnsi="Garamond" w:cs="Times New Roman"/>
          <w:sz w:val="24"/>
          <w:szCs w:val="24"/>
        </w:rPr>
        <w:t xml:space="preserve"> del Virreinato de la Nueva Granada</w:t>
      </w:r>
      <w:r w:rsidRPr="00A2680F">
        <w:rPr>
          <w:rFonts w:ascii="Garamond" w:hAnsi="Garamond" w:cs="Times New Roman"/>
          <w:sz w:val="24"/>
          <w:szCs w:val="24"/>
        </w:rPr>
        <w:t xml:space="preserve">, a unos 300 Km al norte de Santafé. </w:t>
      </w:r>
      <w:r w:rsidR="00690BDC" w:rsidRPr="00A2680F">
        <w:rPr>
          <w:rFonts w:ascii="Garamond" w:hAnsi="Garamond" w:cs="Times New Roman"/>
          <w:sz w:val="24"/>
          <w:szCs w:val="24"/>
        </w:rPr>
        <w:t>Desde su fundación como parroquia de hispanos en 1683, e</w:t>
      </w:r>
      <w:r w:rsidR="00833630" w:rsidRPr="00A2680F">
        <w:rPr>
          <w:rFonts w:ascii="Garamond" w:hAnsi="Garamond" w:cs="Times New Roman"/>
          <w:sz w:val="24"/>
          <w:szCs w:val="24"/>
        </w:rPr>
        <w:t>l lugar se constituyó en un sitio estratégico de intercambio comercial</w:t>
      </w:r>
      <w:r w:rsidR="00690BDC" w:rsidRPr="00A2680F">
        <w:rPr>
          <w:rFonts w:ascii="Garamond" w:hAnsi="Garamond" w:cs="Times New Roman"/>
          <w:sz w:val="24"/>
          <w:szCs w:val="24"/>
        </w:rPr>
        <w:t xml:space="preserve">, y debido a su dinamismo económico y demográfico ascendió a villa </w:t>
      </w:r>
      <w:r w:rsidR="00690BDC" w:rsidRPr="00A2680F">
        <w:rPr>
          <w:rFonts w:ascii="Garamond" w:hAnsi="Garamond" w:cs="Times New Roman"/>
          <w:sz w:val="24"/>
          <w:szCs w:val="24"/>
        </w:rPr>
        <w:lastRenderedPageBreak/>
        <w:t>en 1771</w:t>
      </w:r>
      <w:r w:rsidR="009E07B1" w:rsidRPr="00A2680F">
        <w:rPr>
          <w:rFonts w:ascii="Garamond" w:hAnsi="Garamond" w:cs="Times New Roman"/>
          <w:sz w:val="24"/>
          <w:szCs w:val="24"/>
        </w:rPr>
        <w:t>,</w:t>
      </w:r>
      <w:r w:rsidR="00B106CF" w:rsidRPr="00A2680F">
        <w:rPr>
          <w:rFonts w:ascii="Garamond" w:hAnsi="Garamond" w:cs="Times New Roman"/>
          <w:sz w:val="24"/>
          <w:szCs w:val="24"/>
        </w:rPr>
        <w:t xml:space="preserve"> pese a la resistencia del cabildo de la villa de San Gil, de </w:t>
      </w:r>
      <w:r w:rsidR="009E07B1" w:rsidRPr="00A2680F">
        <w:rPr>
          <w:rFonts w:ascii="Garamond" w:hAnsi="Garamond" w:cs="Times New Roman"/>
          <w:sz w:val="24"/>
          <w:szCs w:val="24"/>
        </w:rPr>
        <w:t>la cual</w:t>
      </w:r>
      <w:r w:rsidR="00B106CF" w:rsidRPr="00A2680F">
        <w:rPr>
          <w:rFonts w:ascii="Garamond" w:hAnsi="Garamond" w:cs="Times New Roman"/>
          <w:sz w:val="24"/>
          <w:szCs w:val="24"/>
        </w:rPr>
        <w:t xml:space="preserve"> se </w:t>
      </w:r>
      <w:r w:rsidR="00DA3595" w:rsidRPr="00A2680F">
        <w:rPr>
          <w:rFonts w:ascii="Garamond" w:hAnsi="Garamond" w:cs="Times New Roman"/>
          <w:sz w:val="24"/>
          <w:szCs w:val="24"/>
        </w:rPr>
        <w:t>separó</w:t>
      </w:r>
      <w:r w:rsidR="009A2253" w:rsidRPr="00A2680F">
        <w:rPr>
          <w:rFonts w:ascii="Garamond" w:hAnsi="Garamond" w:cs="Times New Roman"/>
          <w:sz w:val="24"/>
          <w:szCs w:val="24"/>
        </w:rPr>
        <w:t>.</w:t>
      </w:r>
      <w:r w:rsidR="00690BDC" w:rsidRPr="00A2680F">
        <w:rPr>
          <w:rFonts w:ascii="Garamond" w:hAnsi="Garamond" w:cs="Times New Roman"/>
          <w:sz w:val="24"/>
          <w:szCs w:val="24"/>
        </w:rPr>
        <w:t xml:space="preserve"> </w:t>
      </w:r>
      <w:r w:rsidR="00E63529" w:rsidRPr="00A2680F">
        <w:rPr>
          <w:rFonts w:ascii="Garamond" w:hAnsi="Garamond" w:cs="Times New Roman"/>
          <w:sz w:val="24"/>
          <w:szCs w:val="24"/>
        </w:rPr>
        <w:t>La zona</w:t>
      </w:r>
      <w:r w:rsidR="00690BDC" w:rsidRPr="00A2680F">
        <w:rPr>
          <w:rFonts w:ascii="Garamond" w:hAnsi="Garamond" w:cs="Times New Roman"/>
          <w:sz w:val="24"/>
          <w:szCs w:val="24"/>
        </w:rPr>
        <w:t xml:space="preserve"> basaba su economía en la producción agropecuari</w:t>
      </w:r>
      <w:r w:rsidR="00DA3595" w:rsidRPr="00A2680F">
        <w:rPr>
          <w:rFonts w:ascii="Garamond" w:hAnsi="Garamond" w:cs="Times New Roman"/>
          <w:sz w:val="24"/>
          <w:szCs w:val="24"/>
        </w:rPr>
        <w:t>a</w:t>
      </w:r>
      <w:r w:rsidR="00690BDC" w:rsidRPr="00A2680F">
        <w:rPr>
          <w:rFonts w:ascii="Garamond" w:hAnsi="Garamond" w:cs="Times New Roman"/>
          <w:sz w:val="24"/>
          <w:szCs w:val="24"/>
        </w:rPr>
        <w:t xml:space="preserve"> de propiedades campesinas y pequeñas haciendas, así como en la producción</w:t>
      </w:r>
      <w:r w:rsidR="00E63529" w:rsidRPr="00A2680F">
        <w:rPr>
          <w:rFonts w:ascii="Garamond" w:hAnsi="Garamond" w:cs="Times New Roman"/>
          <w:sz w:val="24"/>
          <w:szCs w:val="24"/>
        </w:rPr>
        <w:t xml:space="preserve"> doméstica</w:t>
      </w:r>
      <w:r w:rsidR="00690BDC" w:rsidRPr="00A2680F">
        <w:rPr>
          <w:rFonts w:ascii="Garamond" w:hAnsi="Garamond" w:cs="Times New Roman"/>
          <w:sz w:val="24"/>
          <w:szCs w:val="24"/>
        </w:rPr>
        <w:t xml:space="preserve"> y comercialización de tejidos de algodó</w:t>
      </w:r>
      <w:r w:rsidR="00E63529" w:rsidRPr="00A2680F">
        <w:rPr>
          <w:rFonts w:ascii="Garamond" w:hAnsi="Garamond" w:cs="Times New Roman"/>
          <w:sz w:val="24"/>
          <w:szCs w:val="24"/>
        </w:rPr>
        <w:t>n (lienzos, mantas y frazadas)</w:t>
      </w:r>
      <w:r w:rsidR="00833630" w:rsidRPr="00A2680F">
        <w:rPr>
          <w:rFonts w:ascii="Garamond" w:hAnsi="Garamond" w:cs="Times New Roman"/>
          <w:sz w:val="24"/>
          <w:szCs w:val="24"/>
        </w:rPr>
        <w:t xml:space="preserve">, las cuales tenían una amplia demanda </w:t>
      </w:r>
      <w:r w:rsidR="00DA3595" w:rsidRPr="00A2680F">
        <w:rPr>
          <w:rFonts w:ascii="Garamond" w:hAnsi="Garamond" w:cs="Times New Roman"/>
          <w:sz w:val="24"/>
          <w:szCs w:val="24"/>
        </w:rPr>
        <w:t xml:space="preserve">que abastecía </w:t>
      </w:r>
      <w:r w:rsidR="009E07B1" w:rsidRPr="00A2680F">
        <w:rPr>
          <w:rFonts w:ascii="Garamond" w:hAnsi="Garamond" w:cs="Times New Roman"/>
          <w:sz w:val="24"/>
          <w:szCs w:val="24"/>
        </w:rPr>
        <w:t>hast</w:t>
      </w:r>
      <w:r w:rsidR="00DA3595" w:rsidRPr="00A2680F">
        <w:rPr>
          <w:rFonts w:ascii="Garamond" w:hAnsi="Garamond" w:cs="Times New Roman"/>
          <w:sz w:val="24"/>
          <w:szCs w:val="24"/>
        </w:rPr>
        <w:t>a las provincias de</w:t>
      </w:r>
      <w:r w:rsidR="00833630" w:rsidRPr="00A2680F">
        <w:rPr>
          <w:rFonts w:ascii="Garamond" w:hAnsi="Garamond" w:cs="Times New Roman"/>
          <w:sz w:val="24"/>
          <w:szCs w:val="24"/>
        </w:rPr>
        <w:t xml:space="preserve"> Venezuela y los distritos mineros de Antioquia, Chocó y Popayán. </w:t>
      </w:r>
      <w:r w:rsidR="009E07B1" w:rsidRPr="00A2680F">
        <w:rPr>
          <w:rFonts w:ascii="Garamond" w:hAnsi="Garamond" w:cs="Times New Roman"/>
          <w:sz w:val="24"/>
          <w:szCs w:val="24"/>
        </w:rPr>
        <w:t>Además</w:t>
      </w:r>
      <w:r w:rsidR="00690BDC" w:rsidRPr="00A2680F">
        <w:rPr>
          <w:rFonts w:ascii="Garamond" w:hAnsi="Garamond" w:cs="Times New Roman"/>
          <w:sz w:val="24"/>
          <w:szCs w:val="24"/>
        </w:rPr>
        <w:t>, en 1781</w:t>
      </w:r>
      <w:r w:rsidR="00E63529" w:rsidRPr="00A2680F">
        <w:rPr>
          <w:rFonts w:ascii="Garamond" w:hAnsi="Garamond" w:cs="Times New Roman"/>
          <w:sz w:val="24"/>
          <w:szCs w:val="24"/>
        </w:rPr>
        <w:t>,</w:t>
      </w:r>
      <w:r w:rsidR="00690BDC" w:rsidRPr="00A2680F">
        <w:rPr>
          <w:rFonts w:ascii="Garamond" w:hAnsi="Garamond" w:cs="Times New Roman"/>
          <w:sz w:val="24"/>
          <w:szCs w:val="24"/>
        </w:rPr>
        <w:t xml:space="preserve"> El Socorro fue epicentro de los levantamientos populares contra las medidas fiscales de los Borbones, acontecimiento conocido como la insurrección de los Comuneros. Para la segunda década del siglo XIX, la villa tuvo una participación activa en el proceso de independencia</w:t>
      </w:r>
      <w:r w:rsidR="00646648" w:rsidRPr="00A2680F">
        <w:rPr>
          <w:rFonts w:ascii="Garamond" w:hAnsi="Garamond" w:cs="Times New Roman"/>
          <w:sz w:val="24"/>
          <w:szCs w:val="24"/>
        </w:rPr>
        <w:t xml:space="preserve"> de Colombia</w:t>
      </w:r>
      <w:r w:rsidR="00690BDC" w:rsidRPr="00A2680F">
        <w:rPr>
          <w:rFonts w:ascii="Garamond" w:hAnsi="Garamond" w:cs="Times New Roman"/>
          <w:sz w:val="24"/>
          <w:szCs w:val="24"/>
        </w:rPr>
        <w:t xml:space="preserve">, pues en el lugar no sólo se instauró una junta de gobierno el 10 de julio de 1810, sino que </w:t>
      </w:r>
      <w:r w:rsidR="005040AB" w:rsidRPr="00A2680F">
        <w:rPr>
          <w:rFonts w:ascii="Garamond" w:hAnsi="Garamond" w:cs="Times New Roman"/>
          <w:sz w:val="24"/>
          <w:szCs w:val="24"/>
        </w:rPr>
        <w:t xml:space="preserve">los vecinos </w:t>
      </w:r>
      <w:r w:rsidR="00690BDC" w:rsidRPr="00A2680F">
        <w:rPr>
          <w:rFonts w:ascii="Garamond" w:hAnsi="Garamond" w:cs="Times New Roman"/>
          <w:sz w:val="24"/>
          <w:szCs w:val="24"/>
        </w:rPr>
        <w:t>aport</w:t>
      </w:r>
      <w:r w:rsidR="005040AB" w:rsidRPr="00A2680F">
        <w:rPr>
          <w:rFonts w:ascii="Garamond" w:hAnsi="Garamond" w:cs="Times New Roman"/>
          <w:sz w:val="24"/>
          <w:szCs w:val="24"/>
        </w:rPr>
        <w:t xml:space="preserve">aron a la causa independentista </w:t>
      </w:r>
      <w:r w:rsidR="00DA3595" w:rsidRPr="00A2680F">
        <w:rPr>
          <w:rFonts w:ascii="Garamond" w:hAnsi="Garamond" w:cs="Times New Roman"/>
          <w:sz w:val="24"/>
          <w:szCs w:val="24"/>
        </w:rPr>
        <w:t>con</w:t>
      </w:r>
      <w:r w:rsidR="00690BDC" w:rsidRPr="00A2680F">
        <w:rPr>
          <w:rFonts w:ascii="Garamond" w:hAnsi="Garamond" w:cs="Times New Roman"/>
          <w:sz w:val="24"/>
          <w:szCs w:val="24"/>
        </w:rPr>
        <w:t xml:space="preserve"> hombres, mártires y recursos</w:t>
      </w:r>
      <w:r w:rsidR="00DA3595" w:rsidRPr="00A2680F">
        <w:rPr>
          <w:rFonts w:ascii="Garamond" w:hAnsi="Garamond" w:cs="Times New Roman"/>
          <w:sz w:val="24"/>
          <w:szCs w:val="24"/>
        </w:rPr>
        <w:t xml:space="preserve"> materiales</w:t>
      </w:r>
      <w:r w:rsidR="005040AB" w:rsidRPr="00A2680F">
        <w:rPr>
          <w:rStyle w:val="Refdenotaalpie"/>
          <w:rFonts w:ascii="Garamond" w:hAnsi="Garamond" w:cs="Times New Roman"/>
          <w:sz w:val="24"/>
          <w:szCs w:val="24"/>
        </w:rPr>
        <w:footnoteReference w:id="6"/>
      </w:r>
      <w:r w:rsidR="00D2529B" w:rsidRPr="00A2680F">
        <w:rPr>
          <w:rFonts w:ascii="Garamond" w:hAnsi="Garamond" w:cs="Times New Roman"/>
          <w:sz w:val="24"/>
          <w:szCs w:val="24"/>
        </w:rPr>
        <w:t>.</w:t>
      </w:r>
      <w:r w:rsidR="00690BDC" w:rsidRPr="00A2680F">
        <w:rPr>
          <w:rFonts w:ascii="Garamond" w:hAnsi="Garamond" w:cs="Times New Roman"/>
          <w:sz w:val="24"/>
          <w:szCs w:val="24"/>
        </w:rPr>
        <w:t xml:space="preserve"> </w:t>
      </w:r>
    </w:p>
    <w:p w14:paraId="5BFDF969" w14:textId="77777777" w:rsidR="0039467F" w:rsidRPr="00A2680F" w:rsidRDefault="0039467F" w:rsidP="00A2680F">
      <w:pPr>
        <w:jc w:val="both"/>
        <w:rPr>
          <w:rFonts w:ascii="Garamond" w:hAnsi="Garamond" w:cs="Times New Roman"/>
          <w:sz w:val="24"/>
          <w:szCs w:val="24"/>
        </w:rPr>
      </w:pPr>
    </w:p>
    <w:p w14:paraId="11B2B420" w14:textId="4B00ADE0" w:rsidR="000152B2" w:rsidRPr="00A2680F" w:rsidRDefault="005040AB" w:rsidP="00A2680F">
      <w:pPr>
        <w:jc w:val="both"/>
        <w:rPr>
          <w:rFonts w:ascii="Garamond" w:hAnsi="Garamond" w:cs="Times New Roman"/>
          <w:sz w:val="24"/>
          <w:szCs w:val="24"/>
        </w:rPr>
      </w:pPr>
      <w:r w:rsidRPr="00A2680F">
        <w:rPr>
          <w:rFonts w:ascii="Garamond" w:hAnsi="Garamond" w:cs="Times New Roman"/>
          <w:sz w:val="24"/>
          <w:szCs w:val="24"/>
        </w:rPr>
        <w:t>La villa del Socorro era uno de los lugares más populosos del virreinato, pues según el censo de 1779,</w:t>
      </w:r>
      <w:r w:rsidR="00972DFB" w:rsidRPr="00A2680F">
        <w:rPr>
          <w:rFonts w:ascii="Garamond" w:hAnsi="Garamond" w:cs="Times New Roman"/>
          <w:sz w:val="24"/>
          <w:szCs w:val="24"/>
        </w:rPr>
        <w:t xml:space="preserve"> tenía 35.1</w:t>
      </w:r>
      <w:r w:rsidR="00257F90" w:rsidRPr="00A2680F">
        <w:rPr>
          <w:rFonts w:ascii="Garamond" w:hAnsi="Garamond" w:cs="Times New Roman"/>
          <w:sz w:val="24"/>
          <w:szCs w:val="24"/>
        </w:rPr>
        <w:t>3</w:t>
      </w:r>
      <w:r w:rsidR="00972DFB" w:rsidRPr="00A2680F">
        <w:rPr>
          <w:rFonts w:ascii="Garamond" w:hAnsi="Garamond" w:cs="Times New Roman"/>
          <w:sz w:val="24"/>
          <w:szCs w:val="24"/>
        </w:rPr>
        <w:t>7 habitantes</w:t>
      </w:r>
      <w:r w:rsidRPr="00A2680F">
        <w:rPr>
          <w:rFonts w:ascii="Garamond" w:hAnsi="Garamond" w:cs="Times New Roman"/>
          <w:sz w:val="24"/>
          <w:szCs w:val="24"/>
        </w:rPr>
        <w:t xml:space="preserve"> de diversas calidades</w:t>
      </w:r>
      <w:r w:rsidR="00972DFB" w:rsidRPr="00A2680F">
        <w:rPr>
          <w:rFonts w:ascii="Garamond" w:hAnsi="Garamond" w:cs="Times New Roman"/>
          <w:sz w:val="24"/>
          <w:szCs w:val="24"/>
        </w:rPr>
        <w:t xml:space="preserve">. Los blancos constituyeron el 50.4% (17.718 habitantes), los libres el 42.5% (14.944), los esclavos el 5.2% (1.848) y los indios el 1.7% (607). </w:t>
      </w:r>
      <w:r w:rsidR="00257F90" w:rsidRPr="00A2680F">
        <w:rPr>
          <w:rFonts w:ascii="Garamond" w:hAnsi="Garamond" w:cs="Times New Roman"/>
          <w:sz w:val="24"/>
          <w:szCs w:val="24"/>
        </w:rPr>
        <w:t xml:space="preserve">Completó el padrón 20 eclesiásticos (Tovar, 1994, pp. 375-376). </w:t>
      </w:r>
      <w:r w:rsidR="00972DFB" w:rsidRPr="00A2680F">
        <w:rPr>
          <w:rFonts w:ascii="Garamond" w:hAnsi="Garamond" w:cs="Times New Roman"/>
          <w:sz w:val="24"/>
          <w:szCs w:val="24"/>
        </w:rPr>
        <w:t xml:space="preserve">Por lo tanto, era una sociedad </w:t>
      </w:r>
      <w:r w:rsidR="009E07B1" w:rsidRPr="00A2680F">
        <w:rPr>
          <w:rFonts w:ascii="Garamond" w:hAnsi="Garamond" w:cs="Times New Roman"/>
          <w:sz w:val="24"/>
          <w:szCs w:val="24"/>
        </w:rPr>
        <w:t xml:space="preserve">predominantemente </w:t>
      </w:r>
      <w:r w:rsidR="00972DFB" w:rsidRPr="00A2680F">
        <w:rPr>
          <w:rFonts w:ascii="Garamond" w:hAnsi="Garamond" w:cs="Times New Roman"/>
          <w:sz w:val="24"/>
          <w:szCs w:val="24"/>
        </w:rPr>
        <w:t>blanc</w:t>
      </w:r>
      <w:r w:rsidR="009E07B1" w:rsidRPr="00A2680F">
        <w:rPr>
          <w:rFonts w:ascii="Garamond" w:hAnsi="Garamond" w:cs="Times New Roman"/>
          <w:sz w:val="24"/>
          <w:szCs w:val="24"/>
        </w:rPr>
        <w:t>a</w:t>
      </w:r>
      <w:r w:rsidR="00972DFB" w:rsidRPr="00A2680F">
        <w:rPr>
          <w:rFonts w:ascii="Garamond" w:hAnsi="Garamond" w:cs="Times New Roman"/>
          <w:sz w:val="24"/>
          <w:szCs w:val="24"/>
        </w:rPr>
        <w:t xml:space="preserve"> y </w:t>
      </w:r>
      <w:r w:rsidR="009E07B1" w:rsidRPr="00A2680F">
        <w:rPr>
          <w:rFonts w:ascii="Garamond" w:hAnsi="Garamond" w:cs="Times New Roman"/>
          <w:sz w:val="24"/>
          <w:szCs w:val="24"/>
        </w:rPr>
        <w:t>mestiza (</w:t>
      </w:r>
      <w:r w:rsidR="00972DFB" w:rsidRPr="00A2680F">
        <w:rPr>
          <w:rFonts w:ascii="Garamond" w:hAnsi="Garamond" w:cs="Times New Roman"/>
          <w:sz w:val="24"/>
          <w:szCs w:val="24"/>
        </w:rPr>
        <w:t>libres</w:t>
      </w:r>
      <w:r w:rsidR="009E07B1" w:rsidRPr="00A2680F">
        <w:rPr>
          <w:rFonts w:ascii="Garamond" w:hAnsi="Garamond" w:cs="Times New Roman"/>
          <w:sz w:val="24"/>
          <w:szCs w:val="24"/>
        </w:rPr>
        <w:t>)</w:t>
      </w:r>
      <w:r w:rsidR="00257F90" w:rsidRPr="00A2680F">
        <w:rPr>
          <w:rFonts w:ascii="Garamond" w:hAnsi="Garamond" w:cs="Times New Roman"/>
          <w:sz w:val="24"/>
          <w:szCs w:val="24"/>
        </w:rPr>
        <w:t>,</w:t>
      </w:r>
      <w:r w:rsidR="00972DFB" w:rsidRPr="00A2680F">
        <w:rPr>
          <w:rFonts w:ascii="Garamond" w:hAnsi="Garamond" w:cs="Times New Roman"/>
          <w:sz w:val="24"/>
          <w:szCs w:val="24"/>
        </w:rPr>
        <w:t xml:space="preserve"> que en conjunto constituían más de nueve décimas partes de la población, mientras los esclavos eran algo más de una veinteava parte. </w:t>
      </w:r>
      <w:r w:rsidR="00C2147E" w:rsidRPr="00A2680F">
        <w:rPr>
          <w:rFonts w:ascii="Garamond" w:hAnsi="Garamond" w:cs="Times New Roman"/>
          <w:sz w:val="24"/>
          <w:szCs w:val="24"/>
        </w:rPr>
        <w:t>E</w:t>
      </w:r>
      <w:r w:rsidR="00972DFB" w:rsidRPr="00A2680F">
        <w:rPr>
          <w:rFonts w:ascii="Garamond" w:hAnsi="Garamond" w:cs="Times New Roman"/>
          <w:sz w:val="24"/>
          <w:szCs w:val="24"/>
        </w:rPr>
        <w:t>stos</w:t>
      </w:r>
      <w:r w:rsidR="00C2147E" w:rsidRPr="00A2680F">
        <w:rPr>
          <w:rFonts w:ascii="Garamond" w:hAnsi="Garamond" w:cs="Times New Roman"/>
          <w:sz w:val="24"/>
          <w:szCs w:val="24"/>
        </w:rPr>
        <w:t xml:space="preserve"> últimos</w:t>
      </w:r>
      <w:r w:rsidR="00972DFB" w:rsidRPr="00A2680F">
        <w:rPr>
          <w:rFonts w:ascii="Garamond" w:hAnsi="Garamond" w:cs="Times New Roman"/>
          <w:sz w:val="24"/>
          <w:szCs w:val="24"/>
        </w:rPr>
        <w:t xml:space="preserve"> estaban dispersos entre campesinos</w:t>
      </w:r>
      <w:r w:rsidR="00257F90" w:rsidRPr="00A2680F">
        <w:rPr>
          <w:rFonts w:ascii="Garamond" w:hAnsi="Garamond" w:cs="Times New Roman"/>
          <w:sz w:val="24"/>
          <w:szCs w:val="24"/>
        </w:rPr>
        <w:t xml:space="preserve"> de diversos niveles de riqueza</w:t>
      </w:r>
      <w:r w:rsidR="00972DFB" w:rsidRPr="00A2680F">
        <w:rPr>
          <w:rFonts w:ascii="Garamond" w:hAnsi="Garamond" w:cs="Times New Roman"/>
          <w:sz w:val="24"/>
          <w:szCs w:val="24"/>
        </w:rPr>
        <w:t xml:space="preserve"> y hacendados, trabajando en labores rurales y domésticas al lado </w:t>
      </w:r>
      <w:r w:rsidR="00257F90" w:rsidRPr="00A2680F">
        <w:rPr>
          <w:rFonts w:ascii="Garamond" w:hAnsi="Garamond" w:cs="Times New Roman"/>
          <w:sz w:val="24"/>
          <w:szCs w:val="24"/>
        </w:rPr>
        <w:t xml:space="preserve">de </w:t>
      </w:r>
      <w:r w:rsidR="00C2147E" w:rsidRPr="00A2680F">
        <w:rPr>
          <w:rFonts w:ascii="Garamond" w:hAnsi="Garamond" w:cs="Times New Roman"/>
          <w:sz w:val="24"/>
          <w:szCs w:val="24"/>
        </w:rPr>
        <w:t xml:space="preserve">las familias de </w:t>
      </w:r>
      <w:r w:rsidR="00257F90" w:rsidRPr="00A2680F">
        <w:rPr>
          <w:rFonts w:ascii="Garamond" w:hAnsi="Garamond" w:cs="Times New Roman"/>
          <w:sz w:val="24"/>
          <w:szCs w:val="24"/>
        </w:rPr>
        <w:t>sus</w:t>
      </w:r>
      <w:r w:rsidR="00C2147E" w:rsidRPr="00A2680F">
        <w:rPr>
          <w:rFonts w:ascii="Garamond" w:hAnsi="Garamond" w:cs="Times New Roman"/>
          <w:sz w:val="24"/>
          <w:szCs w:val="24"/>
        </w:rPr>
        <w:t xml:space="preserve"> dueñ</w:t>
      </w:r>
      <w:r w:rsidR="00257F90" w:rsidRPr="00A2680F">
        <w:rPr>
          <w:rFonts w:ascii="Garamond" w:hAnsi="Garamond" w:cs="Times New Roman"/>
          <w:sz w:val="24"/>
          <w:szCs w:val="24"/>
        </w:rPr>
        <w:t>os, indígenas y de trabajadores libres (</w:t>
      </w:r>
      <w:r w:rsidR="00972DFB" w:rsidRPr="00A2680F">
        <w:rPr>
          <w:rFonts w:ascii="Garamond" w:hAnsi="Garamond" w:cs="Times New Roman"/>
          <w:sz w:val="24"/>
          <w:szCs w:val="24"/>
        </w:rPr>
        <w:t>peones</w:t>
      </w:r>
      <w:r w:rsidR="00257F90" w:rsidRPr="00A2680F">
        <w:rPr>
          <w:rFonts w:ascii="Garamond" w:hAnsi="Garamond" w:cs="Times New Roman"/>
          <w:sz w:val="24"/>
          <w:szCs w:val="24"/>
        </w:rPr>
        <w:t xml:space="preserve"> y</w:t>
      </w:r>
      <w:r w:rsidR="00972DFB" w:rsidRPr="00A2680F">
        <w:rPr>
          <w:rFonts w:ascii="Garamond" w:hAnsi="Garamond" w:cs="Times New Roman"/>
          <w:sz w:val="24"/>
          <w:szCs w:val="24"/>
        </w:rPr>
        <w:t xml:space="preserve"> concertados</w:t>
      </w:r>
      <w:r w:rsidR="00257F90" w:rsidRPr="00A2680F">
        <w:rPr>
          <w:rFonts w:ascii="Garamond" w:hAnsi="Garamond" w:cs="Times New Roman"/>
          <w:sz w:val="24"/>
          <w:szCs w:val="24"/>
        </w:rPr>
        <w:t>)</w:t>
      </w:r>
      <w:r w:rsidR="00972DFB" w:rsidRPr="00A2680F">
        <w:rPr>
          <w:rFonts w:ascii="Garamond" w:hAnsi="Garamond" w:cs="Times New Roman"/>
          <w:sz w:val="24"/>
          <w:szCs w:val="24"/>
        </w:rPr>
        <w:t>.</w:t>
      </w:r>
      <w:r w:rsidR="00257F90" w:rsidRPr="00A2680F">
        <w:rPr>
          <w:rFonts w:ascii="Garamond" w:hAnsi="Garamond" w:cs="Times New Roman"/>
          <w:sz w:val="24"/>
          <w:szCs w:val="24"/>
        </w:rPr>
        <w:t xml:space="preserve"> Los grandes propietarios de tierras eran quienes poseían más de una decena de cautivos hasta 31 esclavos</w:t>
      </w:r>
      <w:r w:rsidR="00A66A75" w:rsidRPr="00A2680F">
        <w:rPr>
          <w:rFonts w:ascii="Garamond" w:hAnsi="Garamond" w:cs="Times New Roman"/>
          <w:sz w:val="24"/>
          <w:szCs w:val="24"/>
        </w:rPr>
        <w:t>; sin embargo, la tendencia general muestra una concentración de uno a cuatro cautivos por amo</w:t>
      </w:r>
      <w:r w:rsidR="00D2529B" w:rsidRPr="00A2680F">
        <w:rPr>
          <w:rStyle w:val="Refdenotaalpie"/>
          <w:rFonts w:ascii="Garamond" w:hAnsi="Garamond" w:cs="Times New Roman"/>
          <w:sz w:val="24"/>
          <w:szCs w:val="24"/>
        </w:rPr>
        <w:footnoteReference w:id="7"/>
      </w:r>
      <w:r w:rsidR="00257F90" w:rsidRPr="00A2680F">
        <w:rPr>
          <w:rFonts w:ascii="Garamond" w:hAnsi="Garamond" w:cs="Times New Roman"/>
          <w:sz w:val="24"/>
          <w:szCs w:val="24"/>
        </w:rPr>
        <w:t>.</w:t>
      </w:r>
    </w:p>
    <w:p w14:paraId="36070AAD" w14:textId="77777777" w:rsidR="0039467F" w:rsidRPr="00A2680F" w:rsidRDefault="0039467F" w:rsidP="00A2680F">
      <w:pPr>
        <w:jc w:val="both"/>
        <w:rPr>
          <w:rFonts w:ascii="Garamond" w:hAnsi="Garamond" w:cs="Times New Roman"/>
          <w:sz w:val="24"/>
          <w:szCs w:val="24"/>
        </w:rPr>
      </w:pPr>
    </w:p>
    <w:p w14:paraId="0FB4F430" w14:textId="1683FCF0" w:rsidR="00A66A75" w:rsidRPr="00A2680F" w:rsidRDefault="00A66A75" w:rsidP="00A2680F">
      <w:pPr>
        <w:jc w:val="both"/>
        <w:rPr>
          <w:rFonts w:ascii="Garamond" w:hAnsi="Garamond" w:cs="Times New Roman"/>
          <w:sz w:val="24"/>
          <w:szCs w:val="24"/>
        </w:rPr>
      </w:pPr>
      <w:r w:rsidRPr="00A2680F">
        <w:rPr>
          <w:rFonts w:ascii="Garamond" w:hAnsi="Garamond" w:cs="Times New Roman"/>
          <w:sz w:val="24"/>
          <w:szCs w:val="24"/>
        </w:rPr>
        <w:t>Ahora bien, debido a</w:t>
      </w:r>
      <w:r w:rsidR="006F1375" w:rsidRPr="00A2680F">
        <w:rPr>
          <w:rFonts w:ascii="Garamond" w:hAnsi="Garamond" w:cs="Times New Roman"/>
          <w:sz w:val="24"/>
          <w:szCs w:val="24"/>
        </w:rPr>
        <w:t xml:space="preserve"> la baja concentración de esclavos (3 de cada 4 amos tenía</w:t>
      </w:r>
      <w:r w:rsidR="00940174" w:rsidRPr="00A2680F">
        <w:rPr>
          <w:rFonts w:ascii="Garamond" w:hAnsi="Garamond" w:cs="Times New Roman"/>
          <w:sz w:val="24"/>
          <w:szCs w:val="24"/>
        </w:rPr>
        <w:t>n</w:t>
      </w:r>
      <w:r w:rsidR="006F1375" w:rsidRPr="00A2680F">
        <w:rPr>
          <w:rFonts w:ascii="Garamond" w:hAnsi="Garamond" w:cs="Times New Roman"/>
          <w:sz w:val="24"/>
          <w:szCs w:val="24"/>
        </w:rPr>
        <w:t xml:space="preserve"> de 1 a 4 cautivos)</w:t>
      </w:r>
      <w:r w:rsidRPr="00A2680F">
        <w:rPr>
          <w:rFonts w:ascii="Garamond" w:hAnsi="Garamond" w:cs="Times New Roman"/>
          <w:sz w:val="24"/>
          <w:szCs w:val="24"/>
        </w:rPr>
        <w:t xml:space="preserve"> y al alto valor comercial de una pieza de esclavos, los </w:t>
      </w:r>
      <w:r w:rsidR="000E65E1" w:rsidRPr="00A2680F">
        <w:rPr>
          <w:rFonts w:ascii="Garamond" w:hAnsi="Garamond" w:cs="Times New Roman"/>
          <w:sz w:val="24"/>
          <w:szCs w:val="24"/>
        </w:rPr>
        <w:t>dueñ</w:t>
      </w:r>
      <w:r w:rsidRPr="00A2680F">
        <w:rPr>
          <w:rFonts w:ascii="Garamond" w:hAnsi="Garamond" w:cs="Times New Roman"/>
          <w:sz w:val="24"/>
          <w:szCs w:val="24"/>
        </w:rPr>
        <w:t xml:space="preserve">os </w:t>
      </w:r>
      <w:r w:rsidR="0043596E" w:rsidRPr="00A2680F">
        <w:rPr>
          <w:rFonts w:ascii="Garamond" w:hAnsi="Garamond" w:cs="Times New Roman"/>
          <w:sz w:val="24"/>
          <w:szCs w:val="24"/>
        </w:rPr>
        <w:t>tuv</w:t>
      </w:r>
      <w:r w:rsidRPr="00A2680F">
        <w:rPr>
          <w:rFonts w:ascii="Garamond" w:hAnsi="Garamond" w:cs="Times New Roman"/>
          <w:sz w:val="24"/>
          <w:szCs w:val="24"/>
        </w:rPr>
        <w:t>ieron</w:t>
      </w:r>
      <w:r w:rsidR="0043596E" w:rsidRPr="00A2680F">
        <w:rPr>
          <w:rFonts w:ascii="Garamond" w:hAnsi="Garamond" w:cs="Times New Roman"/>
          <w:sz w:val="24"/>
          <w:szCs w:val="24"/>
        </w:rPr>
        <w:t xml:space="preserve"> que</w:t>
      </w:r>
      <w:r w:rsidRPr="00A2680F">
        <w:rPr>
          <w:rFonts w:ascii="Garamond" w:hAnsi="Garamond" w:cs="Times New Roman"/>
          <w:sz w:val="24"/>
          <w:szCs w:val="24"/>
        </w:rPr>
        <w:t xml:space="preserve"> proveer las condiciones materiales</w:t>
      </w:r>
      <w:r w:rsidR="0043596E" w:rsidRPr="00A2680F">
        <w:rPr>
          <w:rFonts w:ascii="Garamond" w:hAnsi="Garamond" w:cs="Times New Roman"/>
          <w:sz w:val="24"/>
          <w:szCs w:val="24"/>
        </w:rPr>
        <w:t xml:space="preserve"> </w:t>
      </w:r>
      <w:r w:rsidRPr="00A2680F">
        <w:rPr>
          <w:rFonts w:ascii="Garamond" w:hAnsi="Garamond" w:cs="Times New Roman"/>
          <w:sz w:val="24"/>
          <w:szCs w:val="24"/>
        </w:rPr>
        <w:t xml:space="preserve">para el </w:t>
      </w:r>
      <w:r w:rsidR="0043596E" w:rsidRPr="00A2680F">
        <w:rPr>
          <w:rFonts w:ascii="Garamond" w:hAnsi="Garamond" w:cs="Times New Roman"/>
          <w:sz w:val="24"/>
          <w:szCs w:val="24"/>
        </w:rPr>
        <w:t>sostenimiento</w:t>
      </w:r>
      <w:r w:rsidRPr="00A2680F">
        <w:rPr>
          <w:rFonts w:ascii="Garamond" w:hAnsi="Garamond" w:cs="Times New Roman"/>
          <w:sz w:val="24"/>
          <w:szCs w:val="24"/>
        </w:rPr>
        <w:t xml:space="preserve"> de cada uno de sus cautivos</w:t>
      </w:r>
      <w:r w:rsidR="0043596E" w:rsidRPr="00A2680F">
        <w:rPr>
          <w:rFonts w:ascii="Garamond" w:hAnsi="Garamond" w:cs="Times New Roman"/>
          <w:sz w:val="24"/>
          <w:szCs w:val="24"/>
        </w:rPr>
        <w:t>, asegurar</w:t>
      </w:r>
      <w:r w:rsidR="0003600F" w:rsidRPr="00A2680F">
        <w:rPr>
          <w:rFonts w:ascii="Garamond" w:hAnsi="Garamond" w:cs="Times New Roman"/>
          <w:sz w:val="24"/>
          <w:szCs w:val="24"/>
        </w:rPr>
        <w:t xml:space="preserve"> su reproducción</w:t>
      </w:r>
      <w:r w:rsidR="0043596E" w:rsidRPr="00A2680F">
        <w:rPr>
          <w:rFonts w:ascii="Garamond" w:hAnsi="Garamond" w:cs="Times New Roman"/>
          <w:sz w:val="24"/>
          <w:szCs w:val="24"/>
        </w:rPr>
        <w:t xml:space="preserve"> y evitar los maltratos físicos para que su capital no se menoscabara</w:t>
      </w:r>
      <w:r w:rsidR="0003600F" w:rsidRPr="00A2680F">
        <w:rPr>
          <w:rFonts w:ascii="Garamond" w:hAnsi="Garamond" w:cs="Times New Roman"/>
          <w:sz w:val="24"/>
          <w:szCs w:val="24"/>
        </w:rPr>
        <w:t xml:space="preserve">. En otras </w:t>
      </w:r>
      <w:r w:rsidR="0003600F" w:rsidRPr="00A2680F">
        <w:rPr>
          <w:rFonts w:ascii="Garamond" w:hAnsi="Garamond" w:cs="Times New Roman"/>
          <w:sz w:val="24"/>
          <w:szCs w:val="24"/>
        </w:rPr>
        <w:lastRenderedPageBreak/>
        <w:t xml:space="preserve">palabras, los esclavos de El Socorro no debieron sufrir las rigurosas </w:t>
      </w:r>
      <w:r w:rsidR="0043596E" w:rsidRPr="00A2680F">
        <w:rPr>
          <w:rFonts w:ascii="Garamond" w:hAnsi="Garamond" w:cs="Times New Roman"/>
          <w:sz w:val="24"/>
          <w:szCs w:val="24"/>
        </w:rPr>
        <w:t xml:space="preserve">y extenuantes </w:t>
      </w:r>
      <w:r w:rsidR="0003600F" w:rsidRPr="00A2680F">
        <w:rPr>
          <w:rFonts w:ascii="Garamond" w:hAnsi="Garamond" w:cs="Times New Roman"/>
          <w:sz w:val="24"/>
          <w:szCs w:val="24"/>
        </w:rPr>
        <w:t xml:space="preserve">jornadas y los crueles castigos </w:t>
      </w:r>
      <w:r w:rsidR="006F1375" w:rsidRPr="00A2680F">
        <w:rPr>
          <w:rFonts w:ascii="Garamond" w:hAnsi="Garamond" w:cs="Times New Roman"/>
          <w:sz w:val="24"/>
          <w:szCs w:val="24"/>
        </w:rPr>
        <w:t>que</w:t>
      </w:r>
      <w:r w:rsidR="0003600F" w:rsidRPr="00A2680F">
        <w:rPr>
          <w:rFonts w:ascii="Garamond" w:hAnsi="Garamond" w:cs="Times New Roman"/>
          <w:sz w:val="24"/>
          <w:szCs w:val="24"/>
        </w:rPr>
        <w:t xml:space="preserve"> los cautivos de regiones mineras y de plantación, por ende, su vida debió ser un poco más flexible y menos trajinada</w:t>
      </w:r>
      <w:r w:rsidR="005604CD" w:rsidRPr="00A2680F">
        <w:rPr>
          <w:rFonts w:ascii="Garamond" w:hAnsi="Garamond" w:cs="Times New Roman"/>
          <w:sz w:val="24"/>
          <w:szCs w:val="24"/>
        </w:rPr>
        <w:t xml:space="preserve">. No obstante, </w:t>
      </w:r>
      <w:r w:rsidR="003A0DC4" w:rsidRPr="00A2680F">
        <w:rPr>
          <w:rFonts w:ascii="Garamond" w:hAnsi="Garamond" w:cs="Times New Roman"/>
          <w:sz w:val="24"/>
          <w:szCs w:val="24"/>
        </w:rPr>
        <w:t>si bien se present</w:t>
      </w:r>
      <w:r w:rsidR="00045831" w:rsidRPr="00A2680F">
        <w:rPr>
          <w:rFonts w:ascii="Garamond" w:hAnsi="Garamond" w:cs="Times New Roman"/>
          <w:sz w:val="24"/>
          <w:szCs w:val="24"/>
        </w:rPr>
        <w:t>ó el escenario</w:t>
      </w:r>
      <w:r w:rsidR="005604CD" w:rsidRPr="00A2680F">
        <w:rPr>
          <w:rFonts w:ascii="Garamond" w:hAnsi="Garamond" w:cs="Times New Roman"/>
          <w:sz w:val="24"/>
          <w:szCs w:val="24"/>
        </w:rPr>
        <w:t xml:space="preserve"> </w:t>
      </w:r>
      <w:r w:rsidR="003A0DC4" w:rsidRPr="00A2680F">
        <w:rPr>
          <w:rFonts w:ascii="Garamond" w:hAnsi="Garamond" w:cs="Times New Roman"/>
          <w:sz w:val="24"/>
          <w:szCs w:val="24"/>
        </w:rPr>
        <w:t>para las</w:t>
      </w:r>
      <w:r w:rsidR="005604CD" w:rsidRPr="00A2680F">
        <w:rPr>
          <w:rFonts w:ascii="Garamond" w:hAnsi="Garamond" w:cs="Times New Roman"/>
          <w:sz w:val="24"/>
          <w:szCs w:val="24"/>
        </w:rPr>
        <w:t xml:space="preserve"> relaciones paternalistas y afectivas entre amos y esclavos</w:t>
      </w:r>
      <w:r w:rsidR="003A0DC4" w:rsidRPr="00A2680F">
        <w:rPr>
          <w:rFonts w:ascii="Garamond" w:hAnsi="Garamond" w:cs="Times New Roman"/>
          <w:sz w:val="24"/>
          <w:szCs w:val="24"/>
        </w:rPr>
        <w:t xml:space="preserve">, también </w:t>
      </w:r>
      <w:r w:rsidR="006F1375" w:rsidRPr="00A2680F">
        <w:rPr>
          <w:rFonts w:ascii="Garamond" w:hAnsi="Garamond" w:cs="Times New Roman"/>
          <w:sz w:val="24"/>
          <w:szCs w:val="24"/>
        </w:rPr>
        <w:t>hubo</w:t>
      </w:r>
      <w:r w:rsidR="003A0DC4" w:rsidRPr="00A2680F">
        <w:rPr>
          <w:rFonts w:ascii="Garamond" w:hAnsi="Garamond" w:cs="Times New Roman"/>
          <w:sz w:val="24"/>
          <w:szCs w:val="24"/>
        </w:rPr>
        <w:t xml:space="preserve"> problemas </w:t>
      </w:r>
      <w:r w:rsidR="006F1375" w:rsidRPr="00A2680F">
        <w:rPr>
          <w:rFonts w:ascii="Garamond" w:hAnsi="Garamond" w:cs="Times New Roman"/>
          <w:sz w:val="24"/>
          <w:szCs w:val="24"/>
        </w:rPr>
        <w:t>-</w:t>
      </w:r>
      <w:r w:rsidR="00045831" w:rsidRPr="00A2680F">
        <w:rPr>
          <w:rFonts w:ascii="Garamond" w:hAnsi="Garamond" w:cs="Times New Roman"/>
          <w:sz w:val="24"/>
          <w:szCs w:val="24"/>
        </w:rPr>
        <w:t xml:space="preserve">muy serios </w:t>
      </w:r>
      <w:r w:rsidR="003A0DC4" w:rsidRPr="00A2680F">
        <w:rPr>
          <w:rFonts w:ascii="Garamond" w:hAnsi="Garamond" w:cs="Times New Roman"/>
          <w:sz w:val="24"/>
          <w:szCs w:val="24"/>
        </w:rPr>
        <w:t>como se analiza en este texto</w:t>
      </w:r>
      <w:r w:rsidR="006F1375" w:rsidRPr="00A2680F">
        <w:rPr>
          <w:rFonts w:ascii="Garamond" w:hAnsi="Garamond" w:cs="Times New Roman"/>
          <w:sz w:val="24"/>
          <w:szCs w:val="24"/>
        </w:rPr>
        <w:t>-, que llegaron a las instancias judiciales</w:t>
      </w:r>
      <w:r w:rsidR="00D2529B" w:rsidRPr="00A2680F">
        <w:rPr>
          <w:rStyle w:val="Refdenotaalpie"/>
          <w:rFonts w:ascii="Garamond" w:hAnsi="Garamond" w:cs="Times New Roman"/>
          <w:sz w:val="24"/>
          <w:szCs w:val="24"/>
        </w:rPr>
        <w:footnoteReference w:id="8"/>
      </w:r>
      <w:r w:rsidR="0003600F" w:rsidRPr="00A2680F">
        <w:rPr>
          <w:rFonts w:ascii="Garamond" w:hAnsi="Garamond" w:cs="Times New Roman"/>
          <w:sz w:val="24"/>
          <w:szCs w:val="24"/>
        </w:rPr>
        <w:t xml:space="preserve">. </w:t>
      </w:r>
    </w:p>
    <w:p w14:paraId="2C0890A2" w14:textId="77777777" w:rsidR="00972DFB" w:rsidRPr="00A2680F" w:rsidRDefault="00972DFB" w:rsidP="00A2680F">
      <w:pPr>
        <w:jc w:val="both"/>
        <w:rPr>
          <w:rFonts w:ascii="Garamond" w:hAnsi="Garamond" w:cs="Times New Roman"/>
          <w:sz w:val="24"/>
          <w:szCs w:val="24"/>
        </w:rPr>
      </w:pPr>
    </w:p>
    <w:p w14:paraId="5FA15D5C" w14:textId="77777777" w:rsidR="00454BD6" w:rsidRPr="00A2680F" w:rsidRDefault="00EC675D" w:rsidP="00A2680F">
      <w:pPr>
        <w:jc w:val="both"/>
        <w:rPr>
          <w:rFonts w:ascii="Garamond" w:hAnsi="Garamond" w:cs="Times New Roman"/>
          <w:b/>
          <w:sz w:val="24"/>
          <w:szCs w:val="24"/>
        </w:rPr>
      </w:pPr>
      <w:r w:rsidRPr="00A2680F">
        <w:rPr>
          <w:rFonts w:ascii="Garamond" w:hAnsi="Garamond" w:cs="Times New Roman"/>
          <w:b/>
          <w:sz w:val="24"/>
          <w:szCs w:val="24"/>
        </w:rPr>
        <w:t>1</w:t>
      </w:r>
      <w:r w:rsidR="00476676" w:rsidRPr="00A2680F">
        <w:rPr>
          <w:rFonts w:ascii="Garamond" w:hAnsi="Garamond" w:cs="Times New Roman"/>
          <w:b/>
          <w:sz w:val="24"/>
          <w:szCs w:val="24"/>
        </w:rPr>
        <w:t xml:space="preserve">. </w:t>
      </w:r>
      <w:r w:rsidR="00454BD6" w:rsidRPr="00A2680F">
        <w:rPr>
          <w:rFonts w:ascii="Garamond" w:hAnsi="Garamond" w:cs="Times New Roman"/>
          <w:b/>
          <w:sz w:val="24"/>
          <w:szCs w:val="24"/>
        </w:rPr>
        <w:t>L</w:t>
      </w:r>
      <w:r w:rsidR="00FC11E9" w:rsidRPr="00A2680F">
        <w:rPr>
          <w:rFonts w:ascii="Garamond" w:hAnsi="Garamond" w:cs="Times New Roman"/>
          <w:b/>
          <w:sz w:val="24"/>
          <w:szCs w:val="24"/>
        </w:rPr>
        <w:t>a dominación</w:t>
      </w:r>
      <w:r w:rsidR="00680C28" w:rsidRPr="00A2680F">
        <w:rPr>
          <w:rFonts w:ascii="Garamond" w:hAnsi="Garamond" w:cs="Times New Roman"/>
          <w:b/>
          <w:sz w:val="24"/>
          <w:szCs w:val="24"/>
        </w:rPr>
        <w:t xml:space="preserve"> y sus mecanismos</w:t>
      </w:r>
    </w:p>
    <w:p w14:paraId="4C876957" w14:textId="7FC4962F"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La dominación tiene como propósito social el control, la sumisión,</w:t>
      </w:r>
      <w:r w:rsidR="00E119D4" w:rsidRPr="00A2680F">
        <w:rPr>
          <w:rFonts w:ascii="Garamond" w:hAnsi="Garamond" w:cs="Times New Roman"/>
          <w:sz w:val="24"/>
          <w:szCs w:val="24"/>
        </w:rPr>
        <w:t xml:space="preserve"> el desprecio, el respeto forzado y</w:t>
      </w:r>
      <w:r w:rsidRPr="00A2680F">
        <w:rPr>
          <w:rFonts w:ascii="Garamond" w:hAnsi="Garamond" w:cs="Times New Roman"/>
          <w:sz w:val="24"/>
          <w:szCs w:val="24"/>
        </w:rPr>
        <w:t xml:space="preserve"> el castigo</w:t>
      </w:r>
      <w:r w:rsidR="0085613A" w:rsidRPr="00A2680F">
        <w:rPr>
          <w:rFonts w:ascii="Garamond" w:hAnsi="Garamond" w:cs="Times New Roman"/>
          <w:sz w:val="24"/>
          <w:szCs w:val="24"/>
        </w:rPr>
        <w:t>. C</w:t>
      </w:r>
      <w:r w:rsidRPr="00A2680F">
        <w:rPr>
          <w:rFonts w:ascii="Garamond" w:hAnsi="Garamond" w:cs="Times New Roman"/>
          <w:sz w:val="24"/>
          <w:szCs w:val="24"/>
        </w:rPr>
        <w:t>omprende un ámbi</w:t>
      </w:r>
      <w:r w:rsidR="003D213E" w:rsidRPr="00A2680F">
        <w:rPr>
          <w:rFonts w:ascii="Garamond" w:hAnsi="Garamond" w:cs="Times New Roman"/>
          <w:sz w:val="24"/>
          <w:szCs w:val="24"/>
        </w:rPr>
        <w:t>to de apropiación material,</w:t>
      </w:r>
      <w:r w:rsidRPr="00A2680F">
        <w:rPr>
          <w:rFonts w:ascii="Garamond" w:hAnsi="Garamond" w:cs="Times New Roman"/>
          <w:sz w:val="24"/>
          <w:szCs w:val="24"/>
        </w:rPr>
        <w:t xml:space="preserve"> por ejemplo</w:t>
      </w:r>
      <w:r w:rsidR="00624D9B" w:rsidRPr="00A2680F">
        <w:rPr>
          <w:rFonts w:ascii="Garamond" w:hAnsi="Garamond" w:cs="Times New Roman"/>
          <w:sz w:val="24"/>
          <w:szCs w:val="24"/>
        </w:rPr>
        <w:t>,</w:t>
      </w:r>
      <w:r w:rsidRPr="00A2680F">
        <w:rPr>
          <w:rFonts w:ascii="Garamond" w:hAnsi="Garamond" w:cs="Times New Roman"/>
          <w:sz w:val="24"/>
          <w:szCs w:val="24"/>
        </w:rPr>
        <w:t xml:space="preserve"> del trabajo, de los impuestos y/o de los </w:t>
      </w:r>
      <w:r w:rsidR="00624D9B" w:rsidRPr="00A2680F">
        <w:rPr>
          <w:rFonts w:ascii="Garamond" w:hAnsi="Garamond" w:cs="Times New Roman"/>
          <w:sz w:val="24"/>
          <w:szCs w:val="24"/>
        </w:rPr>
        <w:t>bienes de producción (</w:t>
      </w:r>
      <w:r w:rsidRPr="00A2680F">
        <w:rPr>
          <w:rFonts w:ascii="Garamond" w:hAnsi="Garamond" w:cs="Times New Roman"/>
          <w:sz w:val="24"/>
          <w:szCs w:val="24"/>
        </w:rPr>
        <w:t>productos agropecuarios</w:t>
      </w:r>
      <w:r w:rsidR="00624D9B" w:rsidRPr="00A2680F">
        <w:rPr>
          <w:rFonts w:ascii="Garamond" w:hAnsi="Garamond" w:cs="Times New Roman"/>
          <w:sz w:val="24"/>
          <w:szCs w:val="24"/>
        </w:rPr>
        <w:t>, manufactureros, etc.). I</w:t>
      </w:r>
      <w:r w:rsidRPr="00A2680F">
        <w:rPr>
          <w:rFonts w:ascii="Garamond" w:hAnsi="Garamond" w:cs="Times New Roman"/>
          <w:sz w:val="24"/>
          <w:szCs w:val="24"/>
        </w:rPr>
        <w:t xml:space="preserve">mplica un </w:t>
      </w:r>
      <w:r w:rsidR="00B249BE" w:rsidRPr="00A2680F">
        <w:rPr>
          <w:rFonts w:ascii="Garamond" w:hAnsi="Garamond" w:cs="Times New Roman"/>
          <w:sz w:val="24"/>
          <w:szCs w:val="24"/>
        </w:rPr>
        <w:t>ambiente de dominación pública</w:t>
      </w:r>
      <w:r w:rsidRPr="00A2680F">
        <w:rPr>
          <w:rFonts w:ascii="Garamond" w:hAnsi="Garamond" w:cs="Times New Roman"/>
          <w:sz w:val="24"/>
          <w:szCs w:val="24"/>
        </w:rPr>
        <w:t xml:space="preserve"> por medio de rituales de afirmación jerárquica, </w:t>
      </w:r>
      <w:r w:rsidR="003D213E" w:rsidRPr="00A2680F">
        <w:rPr>
          <w:rFonts w:ascii="Garamond" w:hAnsi="Garamond" w:cs="Times New Roman"/>
          <w:sz w:val="24"/>
          <w:szCs w:val="24"/>
        </w:rPr>
        <w:t>castigos y muestras de cortesía. I</w:t>
      </w:r>
      <w:r w:rsidR="00B249BE" w:rsidRPr="00A2680F">
        <w:rPr>
          <w:rFonts w:ascii="Garamond" w:hAnsi="Garamond" w:cs="Times New Roman"/>
          <w:sz w:val="24"/>
          <w:szCs w:val="24"/>
        </w:rPr>
        <w:t>nvolucra un discurso</w:t>
      </w:r>
      <w:r w:rsidRPr="00A2680F">
        <w:rPr>
          <w:rFonts w:ascii="Garamond" w:hAnsi="Garamond" w:cs="Times New Roman"/>
          <w:sz w:val="24"/>
          <w:szCs w:val="24"/>
        </w:rPr>
        <w:t xml:space="preserve"> de justificación ideológica de las desigualdades</w:t>
      </w:r>
      <w:r w:rsidR="003D213E" w:rsidRPr="00A2680F">
        <w:rPr>
          <w:rFonts w:ascii="Garamond" w:hAnsi="Garamond" w:cs="Times New Roman"/>
          <w:sz w:val="24"/>
          <w:szCs w:val="24"/>
        </w:rPr>
        <w:t>,</w:t>
      </w:r>
      <w:r w:rsidRPr="00A2680F">
        <w:rPr>
          <w:rFonts w:ascii="Garamond" w:hAnsi="Garamond" w:cs="Times New Roman"/>
          <w:sz w:val="24"/>
          <w:szCs w:val="24"/>
        </w:rPr>
        <w:t xml:space="preserve"> como la visión religiosa y política del mundo de los g</w:t>
      </w:r>
      <w:r w:rsidR="0085613A" w:rsidRPr="00A2680F">
        <w:rPr>
          <w:rFonts w:ascii="Garamond" w:hAnsi="Garamond" w:cs="Times New Roman"/>
          <w:sz w:val="24"/>
          <w:szCs w:val="24"/>
        </w:rPr>
        <w:t>rupos superiores</w:t>
      </w:r>
      <w:r w:rsidRPr="00A2680F">
        <w:rPr>
          <w:rFonts w:ascii="Garamond" w:hAnsi="Garamond" w:cs="Times New Roman"/>
          <w:sz w:val="24"/>
          <w:szCs w:val="24"/>
        </w:rPr>
        <w:t>. En las relaciones cotidianas se revelan las</w:t>
      </w:r>
      <w:r w:rsidR="00B249BE" w:rsidRPr="00A2680F">
        <w:rPr>
          <w:rFonts w:ascii="Garamond" w:hAnsi="Garamond" w:cs="Times New Roman"/>
          <w:sz w:val="24"/>
          <w:szCs w:val="24"/>
        </w:rPr>
        <w:t xml:space="preserve"> manifestaciones de</w:t>
      </w:r>
      <w:r w:rsidRPr="00A2680F">
        <w:rPr>
          <w:rFonts w:ascii="Garamond" w:hAnsi="Garamond" w:cs="Times New Roman"/>
          <w:sz w:val="24"/>
          <w:szCs w:val="24"/>
        </w:rPr>
        <w:t xml:space="preserve"> s</w:t>
      </w:r>
      <w:r w:rsidR="00693D97" w:rsidRPr="00A2680F">
        <w:rPr>
          <w:rFonts w:ascii="Garamond" w:hAnsi="Garamond" w:cs="Times New Roman"/>
          <w:sz w:val="24"/>
          <w:szCs w:val="24"/>
        </w:rPr>
        <w:t>ubordinación para</w:t>
      </w:r>
      <w:r w:rsidRPr="00A2680F">
        <w:rPr>
          <w:rFonts w:ascii="Garamond" w:hAnsi="Garamond" w:cs="Times New Roman"/>
          <w:sz w:val="24"/>
          <w:szCs w:val="24"/>
        </w:rPr>
        <w:t xml:space="preserve"> imponer el orden jerárquico y aumentar el poder sin tener que recurrir a la fuerza </w:t>
      </w:r>
      <w:r w:rsidR="003D213E" w:rsidRPr="00A2680F">
        <w:rPr>
          <w:rFonts w:ascii="Garamond" w:hAnsi="Garamond" w:cs="Times New Roman"/>
          <w:sz w:val="24"/>
          <w:szCs w:val="24"/>
        </w:rPr>
        <w:t xml:space="preserve">coercitiva. </w:t>
      </w:r>
      <w:r w:rsidR="004515C9" w:rsidRPr="00A2680F">
        <w:rPr>
          <w:rFonts w:ascii="Garamond" w:hAnsi="Garamond" w:cs="Times New Roman"/>
          <w:sz w:val="24"/>
          <w:szCs w:val="24"/>
        </w:rPr>
        <w:t xml:space="preserve">James </w:t>
      </w:r>
      <w:r w:rsidR="003D213E" w:rsidRPr="00A2680F">
        <w:rPr>
          <w:rFonts w:ascii="Garamond" w:hAnsi="Garamond" w:cs="Times New Roman"/>
          <w:sz w:val="24"/>
          <w:szCs w:val="24"/>
        </w:rPr>
        <w:t>Scott indica que hay</w:t>
      </w:r>
      <w:r w:rsidRPr="00A2680F">
        <w:rPr>
          <w:rFonts w:ascii="Garamond" w:hAnsi="Garamond" w:cs="Times New Roman"/>
          <w:sz w:val="24"/>
          <w:szCs w:val="24"/>
        </w:rPr>
        <w:t xml:space="preserve"> pequeñas exposiciones y rituales de poder</w:t>
      </w:r>
      <w:r w:rsidR="003D213E" w:rsidRPr="00A2680F">
        <w:rPr>
          <w:rFonts w:ascii="Garamond" w:hAnsi="Garamond" w:cs="Times New Roman"/>
          <w:sz w:val="24"/>
          <w:szCs w:val="24"/>
        </w:rPr>
        <w:t>,</w:t>
      </w:r>
      <w:r w:rsidRPr="00A2680F">
        <w:rPr>
          <w:rFonts w:ascii="Garamond" w:hAnsi="Garamond" w:cs="Times New Roman"/>
          <w:sz w:val="24"/>
          <w:szCs w:val="24"/>
        </w:rPr>
        <w:t xml:space="preserve"> como cuando un campesino se quita el sombrero al paso del latifundista o del </w:t>
      </w:r>
      <w:r w:rsidR="0013208F" w:rsidRPr="00A2680F">
        <w:rPr>
          <w:rFonts w:ascii="Garamond" w:hAnsi="Garamond" w:cs="Times New Roman"/>
          <w:sz w:val="24"/>
          <w:szCs w:val="24"/>
        </w:rPr>
        <w:t>funcionario estatal</w:t>
      </w:r>
      <w:r w:rsidRPr="00A2680F">
        <w:rPr>
          <w:rFonts w:ascii="Garamond" w:hAnsi="Garamond" w:cs="Times New Roman"/>
          <w:sz w:val="24"/>
          <w:szCs w:val="24"/>
        </w:rPr>
        <w:t>, la posición de un asiento en una comida o el propinar azotes a un esclavo en presencia de los demás como muestra de escarmiento</w:t>
      </w:r>
      <w:r w:rsidR="006C74DE" w:rsidRPr="00A2680F">
        <w:rPr>
          <w:rStyle w:val="Refdenotaalpie"/>
          <w:rFonts w:ascii="Garamond" w:hAnsi="Garamond" w:cs="Times New Roman"/>
          <w:sz w:val="24"/>
          <w:szCs w:val="24"/>
        </w:rPr>
        <w:footnoteReference w:id="9"/>
      </w:r>
      <w:r w:rsidR="0085123C" w:rsidRPr="00A2680F">
        <w:rPr>
          <w:rFonts w:ascii="Garamond" w:hAnsi="Garamond" w:cs="Times New Roman"/>
          <w:sz w:val="24"/>
          <w:szCs w:val="24"/>
        </w:rPr>
        <w:t>.</w:t>
      </w:r>
      <w:r w:rsidRPr="00A2680F">
        <w:rPr>
          <w:rFonts w:ascii="Garamond" w:hAnsi="Garamond" w:cs="Times New Roman"/>
          <w:sz w:val="24"/>
          <w:szCs w:val="24"/>
        </w:rPr>
        <w:t xml:space="preserve">   </w:t>
      </w:r>
    </w:p>
    <w:p w14:paraId="4B0EB631" w14:textId="77777777" w:rsidR="0039467F" w:rsidRPr="00A2680F" w:rsidRDefault="0039467F" w:rsidP="00A2680F">
      <w:pPr>
        <w:jc w:val="both"/>
        <w:rPr>
          <w:rFonts w:ascii="Garamond" w:hAnsi="Garamond" w:cs="Times New Roman"/>
          <w:sz w:val="24"/>
          <w:szCs w:val="24"/>
        </w:rPr>
      </w:pPr>
    </w:p>
    <w:p w14:paraId="01E0FD0F" w14:textId="66C403EF"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Las manifestaciones de desprecio son una maner</w:t>
      </w:r>
      <w:r w:rsidR="00DA00DA" w:rsidRPr="00A2680F">
        <w:rPr>
          <w:rFonts w:ascii="Garamond" w:hAnsi="Garamond" w:cs="Times New Roman"/>
          <w:sz w:val="24"/>
          <w:szCs w:val="24"/>
        </w:rPr>
        <w:t>a de exhibir la jerarquía</w:t>
      </w:r>
      <w:r w:rsidRPr="00A2680F">
        <w:rPr>
          <w:rFonts w:ascii="Garamond" w:hAnsi="Garamond" w:cs="Times New Roman"/>
          <w:sz w:val="24"/>
          <w:szCs w:val="24"/>
        </w:rPr>
        <w:t xml:space="preserve"> que se quiere salvaguardar en las relacion</w:t>
      </w:r>
      <w:r w:rsidR="003342F7" w:rsidRPr="00A2680F">
        <w:rPr>
          <w:rFonts w:ascii="Garamond" w:hAnsi="Garamond" w:cs="Times New Roman"/>
          <w:sz w:val="24"/>
          <w:szCs w:val="24"/>
        </w:rPr>
        <w:t>es entre superiores y dominados. E</w:t>
      </w:r>
      <w:r w:rsidR="00DA00DA" w:rsidRPr="00A2680F">
        <w:rPr>
          <w:rFonts w:ascii="Garamond" w:hAnsi="Garamond" w:cs="Times New Roman"/>
          <w:sz w:val="24"/>
          <w:szCs w:val="24"/>
        </w:rPr>
        <w:t>n el</w:t>
      </w:r>
      <w:r w:rsidRPr="00A2680F">
        <w:rPr>
          <w:rFonts w:ascii="Garamond" w:hAnsi="Garamond" w:cs="Times New Roman"/>
          <w:sz w:val="24"/>
          <w:szCs w:val="24"/>
        </w:rPr>
        <w:t xml:space="preserve"> caso </w:t>
      </w:r>
      <w:r w:rsidR="00DA00DA" w:rsidRPr="00A2680F">
        <w:rPr>
          <w:rFonts w:ascii="Garamond" w:hAnsi="Garamond" w:cs="Times New Roman"/>
          <w:sz w:val="24"/>
          <w:szCs w:val="24"/>
        </w:rPr>
        <w:t>de</w:t>
      </w:r>
      <w:r w:rsidR="00464F55" w:rsidRPr="00A2680F">
        <w:rPr>
          <w:rFonts w:ascii="Garamond" w:hAnsi="Garamond" w:cs="Times New Roman"/>
          <w:sz w:val="24"/>
          <w:szCs w:val="24"/>
        </w:rPr>
        <w:t xml:space="preserve"> Juana María</w:t>
      </w:r>
      <w:r w:rsidR="00DA00DA" w:rsidRPr="00A2680F">
        <w:rPr>
          <w:rFonts w:ascii="Garamond" w:hAnsi="Garamond" w:cs="Times New Roman"/>
          <w:sz w:val="24"/>
          <w:szCs w:val="24"/>
        </w:rPr>
        <w:t>, lo expresó</w:t>
      </w:r>
      <w:r w:rsidRPr="00A2680F">
        <w:rPr>
          <w:rFonts w:ascii="Garamond" w:hAnsi="Garamond" w:cs="Times New Roman"/>
          <w:sz w:val="24"/>
          <w:szCs w:val="24"/>
        </w:rPr>
        <w:t xml:space="preserve"> de la siguiente manera:</w:t>
      </w:r>
      <w:r w:rsidR="00FC11E9" w:rsidRPr="00A2680F">
        <w:rPr>
          <w:rFonts w:ascii="Garamond" w:hAnsi="Garamond" w:cs="Times New Roman"/>
          <w:sz w:val="24"/>
          <w:szCs w:val="24"/>
        </w:rPr>
        <w:t xml:space="preserve"> </w:t>
      </w:r>
      <w:r w:rsidR="00FC11E9" w:rsidRPr="00A2680F">
        <w:rPr>
          <w:rFonts w:ascii="Garamond" w:hAnsi="Garamond" w:cs="Times New Roman"/>
          <w:i/>
          <w:iCs/>
          <w:sz w:val="24"/>
          <w:szCs w:val="24"/>
        </w:rPr>
        <w:t>“</w:t>
      </w:r>
      <w:r w:rsidRPr="00A2680F">
        <w:rPr>
          <w:rFonts w:ascii="Garamond" w:hAnsi="Garamond" w:cs="Times New Roman"/>
          <w:i/>
          <w:iCs/>
          <w:sz w:val="24"/>
          <w:szCs w:val="24"/>
        </w:rPr>
        <w:t>[…] que a su hija la mayor de las ahogadas que andaba en seis o cinco años la tenía aborrecida su señora, y que cuando mandaba ésta a llamar a su señora con la dicha su hija para que viniera a comer a la cocina la echaba a pellizcos y a palos, y que cuando ésta le iba a llevar otras ocasiones la comida adentro a su señora le tiraba con el plato a la cara […]”</w:t>
      </w:r>
      <w:r w:rsidRPr="00A2680F">
        <w:rPr>
          <w:rStyle w:val="Refdenotaalpie"/>
          <w:rFonts w:ascii="Garamond" w:hAnsi="Garamond" w:cs="Times New Roman"/>
          <w:sz w:val="24"/>
          <w:szCs w:val="24"/>
        </w:rPr>
        <w:footnoteReference w:id="10"/>
      </w:r>
      <w:r w:rsidR="006C74DE" w:rsidRPr="00A2680F">
        <w:rPr>
          <w:rFonts w:ascii="Garamond" w:hAnsi="Garamond" w:cs="Times New Roman"/>
          <w:sz w:val="24"/>
          <w:szCs w:val="24"/>
        </w:rPr>
        <w:t>.</w:t>
      </w:r>
      <w:r w:rsidR="00464F55" w:rsidRPr="00A2680F">
        <w:rPr>
          <w:rFonts w:ascii="Garamond" w:hAnsi="Garamond" w:cs="Times New Roman"/>
          <w:sz w:val="24"/>
          <w:szCs w:val="24"/>
        </w:rPr>
        <w:t xml:space="preserve"> </w:t>
      </w:r>
      <w:r w:rsidR="00DC0814" w:rsidRPr="00A2680F">
        <w:rPr>
          <w:rFonts w:ascii="Garamond" w:hAnsi="Garamond" w:cs="Times New Roman"/>
          <w:sz w:val="24"/>
          <w:szCs w:val="24"/>
        </w:rPr>
        <w:t>Asimismo</w:t>
      </w:r>
      <w:r w:rsidRPr="00A2680F">
        <w:rPr>
          <w:rFonts w:ascii="Garamond" w:hAnsi="Garamond" w:cs="Times New Roman"/>
          <w:sz w:val="24"/>
          <w:szCs w:val="24"/>
        </w:rPr>
        <w:t>, los señore</w:t>
      </w:r>
      <w:r w:rsidR="00464F55" w:rsidRPr="00A2680F">
        <w:rPr>
          <w:rFonts w:ascii="Garamond" w:hAnsi="Garamond" w:cs="Times New Roman"/>
          <w:sz w:val="24"/>
          <w:szCs w:val="24"/>
        </w:rPr>
        <w:t xml:space="preserve">s </w:t>
      </w:r>
      <w:r w:rsidR="00DC0814" w:rsidRPr="00A2680F">
        <w:rPr>
          <w:rFonts w:ascii="Garamond" w:hAnsi="Garamond" w:cs="Times New Roman"/>
          <w:sz w:val="24"/>
          <w:szCs w:val="24"/>
        </w:rPr>
        <w:t>manifest</w:t>
      </w:r>
      <w:r w:rsidR="00464F55" w:rsidRPr="00A2680F">
        <w:rPr>
          <w:rFonts w:ascii="Garamond" w:hAnsi="Garamond" w:cs="Times New Roman"/>
          <w:sz w:val="24"/>
          <w:szCs w:val="24"/>
        </w:rPr>
        <w:t>aban</w:t>
      </w:r>
      <w:r w:rsidR="00DC0814" w:rsidRPr="00A2680F">
        <w:rPr>
          <w:rFonts w:ascii="Garamond" w:hAnsi="Garamond" w:cs="Times New Roman"/>
          <w:sz w:val="24"/>
          <w:szCs w:val="24"/>
        </w:rPr>
        <w:t xml:space="preserve"> su</w:t>
      </w:r>
      <w:r w:rsidRPr="00A2680F">
        <w:rPr>
          <w:rFonts w:ascii="Garamond" w:hAnsi="Garamond" w:cs="Times New Roman"/>
          <w:sz w:val="24"/>
          <w:szCs w:val="24"/>
        </w:rPr>
        <w:t xml:space="preserve"> superioridad</w:t>
      </w:r>
      <w:r w:rsidR="00464F55" w:rsidRPr="00A2680F">
        <w:rPr>
          <w:rFonts w:ascii="Garamond" w:hAnsi="Garamond" w:cs="Times New Roman"/>
          <w:sz w:val="24"/>
          <w:szCs w:val="24"/>
        </w:rPr>
        <w:t xml:space="preserve"> por medio de amenazas</w:t>
      </w:r>
      <w:r w:rsidR="00DC0814" w:rsidRPr="00A2680F">
        <w:rPr>
          <w:rFonts w:ascii="Garamond" w:hAnsi="Garamond" w:cs="Times New Roman"/>
          <w:sz w:val="24"/>
          <w:szCs w:val="24"/>
        </w:rPr>
        <w:t>, puesto</w:t>
      </w:r>
      <w:r w:rsidRPr="00A2680F">
        <w:rPr>
          <w:rFonts w:ascii="Garamond" w:hAnsi="Garamond" w:cs="Times New Roman"/>
          <w:sz w:val="24"/>
          <w:szCs w:val="24"/>
        </w:rPr>
        <w:t xml:space="preserve"> que les ahorraba el uso de la coacción física</w:t>
      </w:r>
      <w:r w:rsidR="006C74DE" w:rsidRPr="00A2680F">
        <w:rPr>
          <w:rStyle w:val="Refdenotaalpie"/>
          <w:rFonts w:ascii="Garamond" w:hAnsi="Garamond" w:cs="Times New Roman"/>
          <w:sz w:val="24"/>
          <w:szCs w:val="24"/>
        </w:rPr>
        <w:footnoteReference w:id="11"/>
      </w:r>
      <w:r w:rsidRPr="00A2680F">
        <w:rPr>
          <w:rFonts w:ascii="Garamond" w:hAnsi="Garamond" w:cs="Times New Roman"/>
          <w:sz w:val="24"/>
          <w:szCs w:val="24"/>
        </w:rPr>
        <w:t>.  Sobr</w:t>
      </w:r>
      <w:r w:rsidR="00DC0814" w:rsidRPr="00A2680F">
        <w:rPr>
          <w:rFonts w:ascii="Garamond" w:hAnsi="Garamond" w:cs="Times New Roman"/>
          <w:sz w:val="24"/>
          <w:szCs w:val="24"/>
        </w:rPr>
        <w:t>e este aspecto,</w:t>
      </w:r>
      <w:r w:rsidR="008C4BA8" w:rsidRPr="00A2680F">
        <w:rPr>
          <w:rFonts w:ascii="Garamond" w:hAnsi="Garamond" w:cs="Times New Roman"/>
          <w:sz w:val="24"/>
          <w:szCs w:val="24"/>
        </w:rPr>
        <w:t xml:space="preserve"> mencionada esclava</w:t>
      </w:r>
      <w:r w:rsidR="00DC0814" w:rsidRPr="00A2680F">
        <w:rPr>
          <w:rFonts w:ascii="Garamond" w:hAnsi="Garamond" w:cs="Times New Roman"/>
          <w:sz w:val="24"/>
          <w:szCs w:val="24"/>
        </w:rPr>
        <w:t xml:space="preserve"> dijo</w:t>
      </w:r>
      <w:r w:rsidR="009532C6" w:rsidRPr="00A2680F">
        <w:rPr>
          <w:rFonts w:ascii="Garamond" w:hAnsi="Garamond" w:cs="Times New Roman"/>
          <w:sz w:val="24"/>
          <w:szCs w:val="24"/>
        </w:rPr>
        <w:t xml:space="preserve"> que su ama</w:t>
      </w:r>
      <w:r w:rsidRPr="00A2680F">
        <w:rPr>
          <w:rFonts w:ascii="Garamond" w:hAnsi="Garamond" w:cs="Times New Roman"/>
          <w:sz w:val="24"/>
          <w:szCs w:val="24"/>
        </w:rPr>
        <w:t xml:space="preserve"> </w:t>
      </w:r>
      <w:r w:rsidRPr="00A2680F">
        <w:rPr>
          <w:rFonts w:ascii="Garamond" w:hAnsi="Garamond" w:cs="Times New Roman"/>
          <w:i/>
          <w:iCs/>
          <w:sz w:val="24"/>
          <w:szCs w:val="24"/>
        </w:rPr>
        <w:t>“[…] a la hora que tenía cólera con la confesante decía que sus hijas la habían de pagar a causa de no poderle pegar a la confesante, porque ésta cuando su señora le quería castigar le andaba huyendo […] y que cada instante estaba maldiciendo su señora a ésta y a sus dos hijas”</w:t>
      </w:r>
      <w:r w:rsidRPr="00A2680F">
        <w:rPr>
          <w:rStyle w:val="Refdenotaalpie"/>
          <w:rFonts w:ascii="Garamond" w:hAnsi="Garamond" w:cs="Times New Roman"/>
          <w:sz w:val="24"/>
          <w:szCs w:val="24"/>
        </w:rPr>
        <w:footnoteReference w:id="12"/>
      </w:r>
      <w:r w:rsidR="006C74DE" w:rsidRPr="00A2680F">
        <w:rPr>
          <w:rFonts w:ascii="Garamond" w:hAnsi="Garamond" w:cs="Times New Roman"/>
          <w:sz w:val="24"/>
          <w:szCs w:val="24"/>
        </w:rPr>
        <w:t>.</w:t>
      </w:r>
      <w:r w:rsidRPr="00A2680F">
        <w:rPr>
          <w:rFonts w:ascii="Garamond" w:hAnsi="Garamond" w:cs="Times New Roman"/>
          <w:sz w:val="24"/>
          <w:szCs w:val="24"/>
        </w:rPr>
        <w:t xml:space="preserve"> </w:t>
      </w:r>
      <w:r w:rsidR="00B2703D" w:rsidRPr="00A2680F">
        <w:rPr>
          <w:rFonts w:ascii="Garamond" w:hAnsi="Garamond" w:cs="Times New Roman"/>
          <w:sz w:val="24"/>
          <w:szCs w:val="24"/>
        </w:rPr>
        <w:t>C</w:t>
      </w:r>
      <w:r w:rsidR="00695496" w:rsidRPr="00A2680F">
        <w:rPr>
          <w:rFonts w:ascii="Garamond" w:hAnsi="Garamond" w:cs="Times New Roman"/>
          <w:sz w:val="24"/>
          <w:szCs w:val="24"/>
        </w:rPr>
        <w:t>abe llamar la atención que no se puede descartar que</w:t>
      </w:r>
      <w:r w:rsidR="00B2703D" w:rsidRPr="00A2680F">
        <w:rPr>
          <w:rFonts w:ascii="Garamond" w:hAnsi="Garamond" w:cs="Times New Roman"/>
          <w:sz w:val="24"/>
          <w:szCs w:val="24"/>
        </w:rPr>
        <w:t xml:space="preserve"> una de las causas</w:t>
      </w:r>
      <w:r w:rsidR="00695496" w:rsidRPr="00A2680F">
        <w:rPr>
          <w:rFonts w:ascii="Garamond" w:hAnsi="Garamond" w:cs="Times New Roman"/>
          <w:sz w:val="24"/>
          <w:szCs w:val="24"/>
        </w:rPr>
        <w:t xml:space="preserve"> de</w:t>
      </w:r>
      <w:r w:rsidR="00974A8F" w:rsidRPr="00A2680F">
        <w:rPr>
          <w:rFonts w:ascii="Garamond" w:hAnsi="Garamond" w:cs="Times New Roman"/>
          <w:sz w:val="24"/>
          <w:szCs w:val="24"/>
        </w:rPr>
        <w:t xml:space="preserve">l </w:t>
      </w:r>
      <w:r w:rsidR="00974A8F" w:rsidRPr="00A2680F">
        <w:rPr>
          <w:rFonts w:ascii="Garamond" w:hAnsi="Garamond" w:cs="Times New Roman"/>
          <w:sz w:val="24"/>
          <w:szCs w:val="24"/>
        </w:rPr>
        <w:lastRenderedPageBreak/>
        <w:t xml:space="preserve">ambiente tenso entre </w:t>
      </w:r>
      <w:r w:rsidR="00695496" w:rsidRPr="00A2680F">
        <w:rPr>
          <w:rFonts w:ascii="Garamond" w:hAnsi="Garamond" w:cs="Times New Roman"/>
          <w:sz w:val="24"/>
          <w:szCs w:val="24"/>
        </w:rPr>
        <w:t xml:space="preserve">la señora </w:t>
      </w:r>
      <w:r w:rsidR="00974A8F" w:rsidRPr="00A2680F">
        <w:rPr>
          <w:rFonts w:ascii="Garamond" w:hAnsi="Garamond" w:cs="Times New Roman"/>
          <w:sz w:val="24"/>
          <w:szCs w:val="24"/>
        </w:rPr>
        <w:t>y</w:t>
      </w:r>
      <w:r w:rsidR="00695496" w:rsidRPr="00A2680F">
        <w:rPr>
          <w:rFonts w:ascii="Garamond" w:hAnsi="Garamond" w:cs="Times New Roman"/>
          <w:sz w:val="24"/>
          <w:szCs w:val="24"/>
        </w:rPr>
        <w:t xml:space="preserve"> sus esclavas </w:t>
      </w:r>
      <w:r w:rsidR="00B2703D" w:rsidRPr="00A2680F">
        <w:rPr>
          <w:rFonts w:ascii="Garamond" w:hAnsi="Garamond" w:cs="Times New Roman"/>
          <w:sz w:val="24"/>
          <w:szCs w:val="24"/>
        </w:rPr>
        <w:t>hubiera sido generadas por celos, o que las hijas de Juana María fueran producto</w:t>
      </w:r>
      <w:r w:rsidR="00974A8F" w:rsidRPr="00A2680F">
        <w:rPr>
          <w:rFonts w:ascii="Garamond" w:hAnsi="Garamond" w:cs="Times New Roman"/>
          <w:sz w:val="24"/>
          <w:szCs w:val="24"/>
        </w:rPr>
        <w:t xml:space="preserve"> de las infidelidades</w:t>
      </w:r>
      <w:r w:rsidR="00B2703D" w:rsidRPr="00A2680F">
        <w:rPr>
          <w:rFonts w:ascii="Garamond" w:hAnsi="Garamond" w:cs="Times New Roman"/>
          <w:sz w:val="24"/>
          <w:szCs w:val="24"/>
        </w:rPr>
        <w:t xml:space="preserve"> de don Javier</w:t>
      </w:r>
      <w:r w:rsidR="006C74DE" w:rsidRPr="00A2680F">
        <w:rPr>
          <w:rStyle w:val="Refdenotaalpie"/>
          <w:rFonts w:ascii="Garamond" w:hAnsi="Garamond" w:cs="Times New Roman"/>
          <w:sz w:val="24"/>
          <w:szCs w:val="24"/>
        </w:rPr>
        <w:footnoteReference w:id="13"/>
      </w:r>
      <w:r w:rsidR="00B2703D" w:rsidRPr="00A2680F">
        <w:rPr>
          <w:rFonts w:ascii="Garamond" w:hAnsi="Garamond" w:cs="Times New Roman"/>
          <w:sz w:val="24"/>
          <w:szCs w:val="24"/>
        </w:rPr>
        <w:t xml:space="preserve">. </w:t>
      </w:r>
    </w:p>
    <w:p w14:paraId="041C8A3B" w14:textId="77777777" w:rsidR="0039467F" w:rsidRPr="00A2680F" w:rsidRDefault="0039467F" w:rsidP="00A2680F">
      <w:pPr>
        <w:jc w:val="both"/>
        <w:rPr>
          <w:rFonts w:ascii="Garamond" w:hAnsi="Garamond" w:cs="Times New Roman"/>
          <w:sz w:val="24"/>
          <w:szCs w:val="24"/>
        </w:rPr>
      </w:pPr>
    </w:p>
    <w:p w14:paraId="2F58E2BF" w14:textId="4E7BA2D6" w:rsidR="00454BD6" w:rsidRPr="00A2680F" w:rsidRDefault="00543408" w:rsidP="00A2680F">
      <w:pPr>
        <w:jc w:val="both"/>
        <w:rPr>
          <w:rFonts w:ascii="Garamond" w:hAnsi="Garamond" w:cs="Times New Roman"/>
          <w:sz w:val="24"/>
          <w:szCs w:val="24"/>
        </w:rPr>
      </w:pPr>
      <w:r w:rsidRPr="00A2680F">
        <w:rPr>
          <w:rFonts w:ascii="Garamond" w:hAnsi="Garamond" w:cs="Times New Roman"/>
          <w:sz w:val="24"/>
          <w:szCs w:val="24"/>
        </w:rPr>
        <w:t>Las afirmaciones de dominación</w:t>
      </w:r>
      <w:r w:rsidR="00454BD6" w:rsidRPr="00A2680F">
        <w:rPr>
          <w:rFonts w:ascii="Garamond" w:hAnsi="Garamond" w:cs="Times New Roman"/>
          <w:sz w:val="24"/>
          <w:szCs w:val="24"/>
        </w:rPr>
        <w:t xml:space="preserve"> se aproximan a lo que quieren los superiores que vean los subordinados, con el fin ocultar todo aquello que puede eclipsar su grandeza y autoridad</w:t>
      </w:r>
      <w:r w:rsidR="0021464E" w:rsidRPr="00A2680F">
        <w:rPr>
          <w:rStyle w:val="Refdenotaalpie"/>
          <w:rFonts w:ascii="Garamond" w:hAnsi="Garamond" w:cs="Times New Roman"/>
          <w:sz w:val="24"/>
          <w:szCs w:val="24"/>
        </w:rPr>
        <w:footnoteReference w:id="14"/>
      </w:r>
      <w:r w:rsidR="0085123C" w:rsidRPr="00A2680F">
        <w:rPr>
          <w:rFonts w:ascii="Garamond" w:hAnsi="Garamond" w:cs="Times New Roman"/>
          <w:sz w:val="24"/>
          <w:szCs w:val="24"/>
        </w:rPr>
        <w:t>.</w:t>
      </w:r>
      <w:r w:rsidR="00454BD6" w:rsidRPr="00A2680F">
        <w:rPr>
          <w:rFonts w:ascii="Garamond" w:hAnsi="Garamond" w:cs="Times New Roman"/>
          <w:sz w:val="24"/>
          <w:szCs w:val="24"/>
        </w:rPr>
        <w:t xml:space="preserve"> Un amo no podía mostrar debilidad en</w:t>
      </w:r>
      <w:r w:rsidR="00BF74ED" w:rsidRPr="00A2680F">
        <w:rPr>
          <w:rFonts w:ascii="Garamond" w:hAnsi="Garamond" w:cs="Times New Roman"/>
          <w:sz w:val="24"/>
          <w:szCs w:val="24"/>
        </w:rPr>
        <w:t xml:space="preserve"> las relaciones con sus esclavizados, menos cuando había algun</w:t>
      </w:r>
      <w:r w:rsidR="00454BD6" w:rsidRPr="00A2680F">
        <w:rPr>
          <w:rFonts w:ascii="Garamond" w:hAnsi="Garamond" w:cs="Times New Roman"/>
          <w:sz w:val="24"/>
          <w:szCs w:val="24"/>
        </w:rPr>
        <w:t>os que tenían actitudes de resistencia. El desprecio y la amenaza eran dos de los mecanismos para ocul</w:t>
      </w:r>
      <w:r w:rsidR="009532C6" w:rsidRPr="00A2680F">
        <w:rPr>
          <w:rFonts w:ascii="Garamond" w:hAnsi="Garamond" w:cs="Times New Roman"/>
          <w:sz w:val="24"/>
          <w:szCs w:val="24"/>
        </w:rPr>
        <w:t>tar una posible incapacidad de</w:t>
      </w:r>
      <w:r w:rsidR="00454BD6" w:rsidRPr="00A2680F">
        <w:rPr>
          <w:rFonts w:ascii="Garamond" w:hAnsi="Garamond" w:cs="Times New Roman"/>
          <w:sz w:val="24"/>
          <w:szCs w:val="24"/>
        </w:rPr>
        <w:t xml:space="preserve"> exigir la sumisión total de los sometidos. Los superiores trataban de reducir al máximo todo aquello que opacara </w:t>
      </w:r>
      <w:r w:rsidR="00BF74ED" w:rsidRPr="00A2680F">
        <w:rPr>
          <w:rFonts w:ascii="Garamond" w:hAnsi="Garamond" w:cs="Times New Roman"/>
          <w:sz w:val="24"/>
          <w:szCs w:val="24"/>
        </w:rPr>
        <w:t>su autoridad</w:t>
      </w:r>
      <w:r w:rsidR="00454BD6" w:rsidRPr="00A2680F">
        <w:rPr>
          <w:rFonts w:ascii="Garamond" w:hAnsi="Garamond" w:cs="Times New Roman"/>
          <w:sz w:val="24"/>
          <w:szCs w:val="24"/>
        </w:rPr>
        <w:t>, y cuando requería del uso de la fuerza</w:t>
      </w:r>
      <w:r w:rsidR="00BF74ED" w:rsidRPr="00A2680F">
        <w:rPr>
          <w:rFonts w:ascii="Garamond" w:hAnsi="Garamond" w:cs="Times New Roman"/>
          <w:sz w:val="24"/>
          <w:szCs w:val="24"/>
        </w:rPr>
        <w:t>,</w:t>
      </w:r>
      <w:r w:rsidR="00454BD6" w:rsidRPr="00A2680F">
        <w:rPr>
          <w:rFonts w:ascii="Garamond" w:hAnsi="Garamond" w:cs="Times New Roman"/>
          <w:sz w:val="24"/>
          <w:szCs w:val="24"/>
        </w:rPr>
        <w:t xml:space="preserve"> los castigos eran muestras ejemplarizantes de poder para el conjunto de los sometidos. </w:t>
      </w:r>
    </w:p>
    <w:p w14:paraId="66535D9E" w14:textId="77777777" w:rsidR="0039467F" w:rsidRPr="00A2680F" w:rsidRDefault="0039467F" w:rsidP="00A2680F">
      <w:pPr>
        <w:jc w:val="both"/>
        <w:rPr>
          <w:rFonts w:ascii="Garamond" w:hAnsi="Garamond" w:cs="Times New Roman"/>
          <w:sz w:val="24"/>
          <w:szCs w:val="24"/>
        </w:rPr>
      </w:pPr>
    </w:p>
    <w:p w14:paraId="7FFF7900" w14:textId="55EFA9D6"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Es interesante resaltar otras dos estrategias de dominación</w:t>
      </w:r>
      <w:r w:rsidR="002B28D9" w:rsidRPr="00A2680F">
        <w:rPr>
          <w:rFonts w:ascii="Garamond" w:hAnsi="Garamond" w:cs="Times New Roman"/>
          <w:sz w:val="24"/>
          <w:szCs w:val="24"/>
        </w:rPr>
        <w:t xml:space="preserve"> llev</w:t>
      </w:r>
      <w:r w:rsidR="002B315E" w:rsidRPr="00A2680F">
        <w:rPr>
          <w:rFonts w:ascii="Garamond" w:hAnsi="Garamond" w:cs="Times New Roman"/>
          <w:sz w:val="24"/>
          <w:szCs w:val="24"/>
        </w:rPr>
        <w:t>adas</w:t>
      </w:r>
      <w:r w:rsidR="002B28D9" w:rsidRPr="00A2680F">
        <w:rPr>
          <w:rFonts w:ascii="Garamond" w:hAnsi="Garamond" w:cs="Times New Roman"/>
          <w:sz w:val="24"/>
          <w:szCs w:val="24"/>
        </w:rPr>
        <w:t xml:space="preserve"> a cabo</w:t>
      </w:r>
      <w:r w:rsidR="002B315E" w:rsidRPr="00A2680F">
        <w:rPr>
          <w:rFonts w:ascii="Garamond" w:hAnsi="Garamond" w:cs="Times New Roman"/>
          <w:sz w:val="24"/>
          <w:szCs w:val="24"/>
        </w:rPr>
        <w:t xml:space="preserve"> por Gómez</w:t>
      </w:r>
      <w:r w:rsidR="00033528" w:rsidRPr="00A2680F">
        <w:rPr>
          <w:rFonts w:ascii="Garamond" w:hAnsi="Garamond" w:cs="Times New Roman"/>
          <w:sz w:val="24"/>
          <w:szCs w:val="24"/>
        </w:rPr>
        <w:t xml:space="preserve"> Plata</w:t>
      </w:r>
      <w:r w:rsidRPr="00A2680F">
        <w:rPr>
          <w:rFonts w:ascii="Garamond" w:hAnsi="Garamond" w:cs="Times New Roman"/>
          <w:sz w:val="24"/>
          <w:szCs w:val="24"/>
        </w:rPr>
        <w:t xml:space="preserve"> y </w:t>
      </w:r>
      <w:r w:rsidR="002B315E" w:rsidRPr="00A2680F">
        <w:rPr>
          <w:rFonts w:ascii="Garamond" w:hAnsi="Garamond" w:cs="Times New Roman"/>
          <w:sz w:val="24"/>
          <w:szCs w:val="24"/>
        </w:rPr>
        <w:t>su esposa con la</w:t>
      </w:r>
      <w:r w:rsidRPr="00A2680F">
        <w:rPr>
          <w:rFonts w:ascii="Garamond" w:hAnsi="Garamond" w:cs="Times New Roman"/>
          <w:sz w:val="24"/>
          <w:szCs w:val="24"/>
        </w:rPr>
        <w:t>s cautivas. La primera de ellas era la negligencia en la asistencia d</w:t>
      </w:r>
      <w:r w:rsidR="003C7DC7" w:rsidRPr="00A2680F">
        <w:rPr>
          <w:rFonts w:ascii="Garamond" w:hAnsi="Garamond" w:cs="Times New Roman"/>
          <w:sz w:val="24"/>
          <w:szCs w:val="24"/>
        </w:rPr>
        <w:t>e ropa</w:t>
      </w:r>
      <w:r w:rsidR="0098367F" w:rsidRPr="00A2680F">
        <w:rPr>
          <w:rFonts w:ascii="Garamond" w:hAnsi="Garamond" w:cs="Times New Roman"/>
          <w:sz w:val="24"/>
          <w:szCs w:val="24"/>
        </w:rPr>
        <w:t>. Cuando la esclava testificó</w:t>
      </w:r>
      <w:r w:rsidRPr="00A2680F">
        <w:rPr>
          <w:rFonts w:ascii="Garamond" w:hAnsi="Garamond" w:cs="Times New Roman"/>
          <w:sz w:val="24"/>
          <w:szCs w:val="24"/>
        </w:rPr>
        <w:t xml:space="preserve"> ante el alcalde</w:t>
      </w:r>
      <w:r w:rsidR="0098367F" w:rsidRPr="00A2680F">
        <w:rPr>
          <w:rFonts w:ascii="Garamond" w:hAnsi="Garamond" w:cs="Times New Roman"/>
          <w:sz w:val="24"/>
          <w:szCs w:val="24"/>
        </w:rPr>
        <w:t>,</w:t>
      </w:r>
      <w:r w:rsidRPr="00A2680F">
        <w:rPr>
          <w:rFonts w:ascii="Garamond" w:hAnsi="Garamond" w:cs="Times New Roman"/>
          <w:sz w:val="24"/>
          <w:szCs w:val="24"/>
        </w:rPr>
        <w:t xml:space="preserve"> mencionó la pobreza de su ve</w:t>
      </w:r>
      <w:r w:rsidR="0098367F" w:rsidRPr="00A2680F">
        <w:rPr>
          <w:rFonts w:ascii="Garamond" w:hAnsi="Garamond" w:cs="Times New Roman"/>
          <w:sz w:val="24"/>
          <w:szCs w:val="24"/>
        </w:rPr>
        <w:t>stuario</w:t>
      </w:r>
      <w:r w:rsidRPr="00A2680F">
        <w:rPr>
          <w:rFonts w:ascii="Garamond" w:hAnsi="Garamond" w:cs="Times New Roman"/>
          <w:sz w:val="24"/>
          <w:szCs w:val="24"/>
        </w:rPr>
        <w:t>:</w:t>
      </w:r>
    </w:p>
    <w:p w14:paraId="06D1EE03" w14:textId="05D70CF3" w:rsidR="00454BD6" w:rsidRPr="00A2680F" w:rsidRDefault="006B6F17" w:rsidP="00A2680F">
      <w:pPr>
        <w:spacing w:after="0"/>
        <w:ind w:left="708"/>
        <w:jc w:val="both"/>
        <w:rPr>
          <w:rFonts w:ascii="Garamond" w:hAnsi="Garamond" w:cs="Times New Roman"/>
        </w:rPr>
      </w:pPr>
      <w:r w:rsidRPr="00A2680F">
        <w:rPr>
          <w:rFonts w:ascii="Garamond" w:hAnsi="Garamond" w:cs="Times New Roman"/>
        </w:rPr>
        <w:t>“</w:t>
      </w:r>
      <w:r w:rsidR="00454BD6" w:rsidRPr="00A2680F">
        <w:rPr>
          <w:rFonts w:ascii="Garamond" w:hAnsi="Garamond" w:cs="Times New Roman"/>
        </w:rPr>
        <w:t>[…] que en seis o siete años que les ha servido, no le han dado más naguas que es las que tiene puestas actual y que para vestirse tenía que trabajar los días de fiesta, pues que hubo año que sólo le dieron una camisa, y para lavarla tenía que quedarse desnuda, y que siempre fue muy poco lo que le dieron para que se vistiera, pues para salir a misa o a confesarse cada año tenía la confesante que buscar quien le prestara con qué poder salir […</w:t>
      </w:r>
      <w:r w:rsidR="00FC11E9" w:rsidRPr="00A2680F">
        <w:rPr>
          <w:rFonts w:ascii="Garamond" w:hAnsi="Garamond" w:cs="Times New Roman"/>
        </w:rPr>
        <w:t>]</w:t>
      </w:r>
      <w:r w:rsidRPr="00A2680F">
        <w:rPr>
          <w:rFonts w:ascii="Garamond" w:hAnsi="Garamond" w:cs="Times New Roman"/>
        </w:rPr>
        <w:t>”</w:t>
      </w:r>
      <w:r w:rsidR="00454BD6" w:rsidRPr="00A2680F">
        <w:rPr>
          <w:rStyle w:val="Refdenotaalpie"/>
          <w:rFonts w:ascii="Garamond" w:hAnsi="Garamond" w:cs="Times New Roman"/>
        </w:rPr>
        <w:footnoteReference w:id="15"/>
      </w:r>
      <w:r w:rsidR="0021464E" w:rsidRPr="00A2680F">
        <w:rPr>
          <w:rFonts w:ascii="Garamond" w:hAnsi="Garamond" w:cs="Times New Roman"/>
        </w:rPr>
        <w:t>.</w:t>
      </w:r>
    </w:p>
    <w:p w14:paraId="3EA4AA0E" w14:textId="77777777" w:rsidR="00454BD6" w:rsidRPr="00A2680F" w:rsidRDefault="00454BD6" w:rsidP="00A2680F">
      <w:pPr>
        <w:jc w:val="both"/>
        <w:rPr>
          <w:rFonts w:ascii="Garamond" w:hAnsi="Garamond" w:cs="Times New Roman"/>
          <w:sz w:val="24"/>
          <w:szCs w:val="24"/>
        </w:rPr>
      </w:pPr>
    </w:p>
    <w:p w14:paraId="4E1CA112" w14:textId="4CC885DF"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Por otra parte, los azotes propinados a los esclavos era una forma de contener su espíritu insumiso. El poder del látigo buscaba genera</w:t>
      </w:r>
      <w:r w:rsidR="001B5BF1" w:rsidRPr="00A2680F">
        <w:rPr>
          <w:rFonts w:ascii="Garamond" w:hAnsi="Garamond" w:cs="Times New Roman"/>
          <w:sz w:val="24"/>
          <w:szCs w:val="24"/>
        </w:rPr>
        <w:t>r miedo no sólo entre quienes recibían los golpes, sino en</w:t>
      </w:r>
      <w:r w:rsidRPr="00A2680F">
        <w:rPr>
          <w:rFonts w:ascii="Garamond" w:hAnsi="Garamond" w:cs="Times New Roman"/>
          <w:sz w:val="24"/>
          <w:szCs w:val="24"/>
        </w:rPr>
        <w:t xml:space="preserve"> aquellos que</w:t>
      </w:r>
      <w:r w:rsidR="001B5BF1" w:rsidRPr="00A2680F">
        <w:rPr>
          <w:rFonts w:ascii="Garamond" w:hAnsi="Garamond" w:cs="Times New Roman"/>
          <w:sz w:val="24"/>
          <w:szCs w:val="24"/>
        </w:rPr>
        <w:t xml:space="preserve"> los</w:t>
      </w:r>
      <w:r w:rsidRPr="00A2680F">
        <w:rPr>
          <w:rFonts w:ascii="Garamond" w:hAnsi="Garamond" w:cs="Times New Roman"/>
          <w:sz w:val="24"/>
          <w:szCs w:val="24"/>
        </w:rPr>
        <w:t xml:space="preserve"> presenciaban. Un episodio de ese estilo </w:t>
      </w:r>
      <w:r w:rsidR="00EF327D" w:rsidRPr="00A2680F">
        <w:rPr>
          <w:rFonts w:ascii="Garamond" w:hAnsi="Garamond" w:cs="Times New Roman"/>
          <w:sz w:val="24"/>
          <w:szCs w:val="24"/>
        </w:rPr>
        <w:t>re</w:t>
      </w:r>
      <w:r w:rsidRPr="00A2680F">
        <w:rPr>
          <w:rFonts w:ascii="Garamond" w:hAnsi="Garamond" w:cs="Times New Roman"/>
          <w:sz w:val="24"/>
          <w:szCs w:val="24"/>
        </w:rPr>
        <w:t>presentaba, por un lado, las manifestaciones de autoridad de un amo que, personalmente o por medio de un capataz, mostraba su poder de do</w:t>
      </w:r>
      <w:r w:rsidR="003B4CE4" w:rsidRPr="00A2680F">
        <w:rPr>
          <w:rFonts w:ascii="Garamond" w:hAnsi="Garamond" w:cs="Times New Roman"/>
          <w:sz w:val="24"/>
          <w:szCs w:val="24"/>
        </w:rPr>
        <w:t>minación física</w:t>
      </w:r>
      <w:r w:rsidR="00E6192F" w:rsidRPr="00A2680F">
        <w:rPr>
          <w:rFonts w:ascii="Garamond" w:hAnsi="Garamond" w:cs="Times New Roman"/>
          <w:sz w:val="24"/>
          <w:szCs w:val="24"/>
        </w:rPr>
        <w:t>. P</w:t>
      </w:r>
      <w:r w:rsidRPr="00A2680F">
        <w:rPr>
          <w:rFonts w:ascii="Garamond" w:hAnsi="Garamond" w:cs="Times New Roman"/>
          <w:sz w:val="24"/>
          <w:szCs w:val="24"/>
        </w:rPr>
        <w:t>or el otro, era un acto intimidatorio con escenas de dolor que d</w:t>
      </w:r>
      <w:r w:rsidR="00E6192F" w:rsidRPr="00A2680F">
        <w:rPr>
          <w:rFonts w:ascii="Garamond" w:hAnsi="Garamond" w:cs="Times New Roman"/>
          <w:sz w:val="24"/>
          <w:szCs w:val="24"/>
        </w:rPr>
        <w:t>ebían impactar al grupo de cauti</w:t>
      </w:r>
      <w:r w:rsidRPr="00A2680F">
        <w:rPr>
          <w:rFonts w:ascii="Garamond" w:hAnsi="Garamond" w:cs="Times New Roman"/>
          <w:sz w:val="24"/>
          <w:szCs w:val="24"/>
        </w:rPr>
        <w:t>vos que observaban, y más si los lazos afectivos eran tan estrechos con el castigado</w:t>
      </w:r>
      <w:r w:rsidR="0021464E" w:rsidRPr="00A2680F">
        <w:rPr>
          <w:rStyle w:val="Refdenotaalpie"/>
          <w:rFonts w:ascii="Garamond" w:hAnsi="Garamond" w:cs="Times New Roman"/>
          <w:sz w:val="24"/>
          <w:szCs w:val="24"/>
        </w:rPr>
        <w:footnoteReference w:id="16"/>
      </w:r>
      <w:r w:rsidR="0085123C" w:rsidRPr="00A2680F">
        <w:rPr>
          <w:rFonts w:ascii="Garamond" w:hAnsi="Garamond" w:cs="Times New Roman"/>
          <w:sz w:val="24"/>
          <w:szCs w:val="24"/>
        </w:rPr>
        <w:t>.</w:t>
      </w:r>
      <w:r w:rsidR="00130025" w:rsidRPr="00A2680F">
        <w:rPr>
          <w:rFonts w:ascii="Garamond" w:hAnsi="Garamond" w:cs="Times New Roman"/>
          <w:sz w:val="24"/>
          <w:szCs w:val="24"/>
        </w:rPr>
        <w:t xml:space="preserve"> E</w:t>
      </w:r>
      <w:r w:rsidRPr="00A2680F">
        <w:rPr>
          <w:rFonts w:ascii="Garamond" w:hAnsi="Garamond" w:cs="Times New Roman"/>
          <w:sz w:val="24"/>
          <w:szCs w:val="24"/>
        </w:rPr>
        <w:t>n más de una ocasión</w:t>
      </w:r>
      <w:r w:rsidR="00130025" w:rsidRPr="00A2680F">
        <w:rPr>
          <w:rFonts w:ascii="Garamond" w:hAnsi="Garamond" w:cs="Times New Roman"/>
          <w:sz w:val="24"/>
          <w:szCs w:val="24"/>
        </w:rPr>
        <w:t>, Ju</w:t>
      </w:r>
      <w:r w:rsidR="002B28D9" w:rsidRPr="00A2680F">
        <w:rPr>
          <w:rFonts w:ascii="Garamond" w:hAnsi="Garamond" w:cs="Times New Roman"/>
          <w:sz w:val="24"/>
          <w:szCs w:val="24"/>
        </w:rPr>
        <w:t>ana María fue castigada con cuatro o cinco azotes por su amo, quien la colgaba</w:t>
      </w:r>
      <w:r w:rsidRPr="00A2680F">
        <w:rPr>
          <w:rFonts w:ascii="Garamond" w:hAnsi="Garamond" w:cs="Times New Roman"/>
          <w:sz w:val="24"/>
          <w:szCs w:val="24"/>
        </w:rPr>
        <w:t>. Las niñas recibían pellizcos, punta pies y “palos” por parte de doña Victoria, hechos observados con impotencia por una madre que nada podía hacer</w:t>
      </w:r>
      <w:r w:rsidRPr="00A2680F">
        <w:rPr>
          <w:rStyle w:val="Refdenotaalpie"/>
          <w:rFonts w:ascii="Garamond" w:hAnsi="Garamond" w:cs="Times New Roman"/>
          <w:sz w:val="24"/>
          <w:szCs w:val="24"/>
        </w:rPr>
        <w:footnoteReference w:id="17"/>
      </w:r>
      <w:r w:rsidR="0021464E" w:rsidRPr="00A2680F">
        <w:rPr>
          <w:rFonts w:ascii="Garamond" w:hAnsi="Garamond" w:cs="Times New Roman"/>
          <w:sz w:val="24"/>
          <w:szCs w:val="24"/>
        </w:rPr>
        <w:t>.</w:t>
      </w:r>
      <w:r w:rsidRPr="00A2680F">
        <w:rPr>
          <w:rFonts w:ascii="Garamond" w:hAnsi="Garamond" w:cs="Times New Roman"/>
          <w:sz w:val="24"/>
          <w:szCs w:val="24"/>
        </w:rPr>
        <w:t xml:space="preserve"> </w:t>
      </w:r>
    </w:p>
    <w:p w14:paraId="2BC3CBD7" w14:textId="77777777" w:rsidR="0039467F" w:rsidRPr="00A2680F" w:rsidRDefault="0039467F" w:rsidP="00A2680F">
      <w:pPr>
        <w:jc w:val="both"/>
        <w:rPr>
          <w:rFonts w:ascii="Garamond" w:hAnsi="Garamond" w:cs="Times New Roman"/>
          <w:sz w:val="24"/>
          <w:szCs w:val="24"/>
        </w:rPr>
      </w:pPr>
    </w:p>
    <w:p w14:paraId="3B5BFC0B" w14:textId="7FB488FB" w:rsidR="00454BD6" w:rsidRPr="00A2680F" w:rsidRDefault="00F30399" w:rsidP="00A2680F">
      <w:pPr>
        <w:jc w:val="both"/>
        <w:rPr>
          <w:rFonts w:ascii="Garamond" w:hAnsi="Garamond" w:cs="Times New Roman"/>
          <w:sz w:val="24"/>
          <w:szCs w:val="24"/>
        </w:rPr>
      </w:pPr>
      <w:r w:rsidRPr="00A2680F">
        <w:rPr>
          <w:rFonts w:ascii="Garamond" w:hAnsi="Garamond" w:cs="Times New Roman"/>
          <w:sz w:val="24"/>
          <w:szCs w:val="24"/>
        </w:rPr>
        <w:t>Un</w:t>
      </w:r>
      <w:r w:rsidR="00454BD6" w:rsidRPr="00A2680F">
        <w:rPr>
          <w:rFonts w:ascii="Garamond" w:hAnsi="Garamond" w:cs="Times New Roman"/>
          <w:sz w:val="24"/>
          <w:szCs w:val="24"/>
        </w:rPr>
        <w:t>a de las funciones del discurso público</w:t>
      </w:r>
      <w:r w:rsidR="0011284D" w:rsidRPr="00A2680F">
        <w:rPr>
          <w:rFonts w:ascii="Garamond" w:hAnsi="Garamond" w:cs="Times New Roman"/>
          <w:sz w:val="24"/>
          <w:szCs w:val="24"/>
        </w:rPr>
        <w:t xml:space="preserve"> de dominación</w:t>
      </w:r>
      <w:r w:rsidR="00454BD6" w:rsidRPr="00A2680F">
        <w:rPr>
          <w:rFonts w:ascii="Garamond" w:hAnsi="Garamond" w:cs="Times New Roman"/>
          <w:sz w:val="24"/>
          <w:szCs w:val="24"/>
        </w:rPr>
        <w:t xml:space="preserve"> es el uso de eufemismos para embellecer aspectos del poder que no se pueden negar. Se emplean para borrar algo que se considera negativo o se puede convertir en un problema si se declara explícitamente. El poder de llamar un aspecto de la dominación de una manera benigna implica el poder de hacer lo contrario</w:t>
      </w:r>
      <w:r w:rsidR="0021464E" w:rsidRPr="00A2680F">
        <w:rPr>
          <w:rStyle w:val="Refdenotaalpie"/>
          <w:rFonts w:ascii="Garamond" w:hAnsi="Garamond" w:cs="Times New Roman"/>
          <w:sz w:val="24"/>
          <w:szCs w:val="24"/>
        </w:rPr>
        <w:footnoteReference w:id="18"/>
      </w:r>
      <w:r w:rsidR="0085123C" w:rsidRPr="00A2680F">
        <w:rPr>
          <w:rFonts w:ascii="Garamond" w:hAnsi="Garamond" w:cs="Times New Roman"/>
          <w:sz w:val="24"/>
          <w:szCs w:val="24"/>
        </w:rPr>
        <w:t>.</w:t>
      </w:r>
      <w:r w:rsidR="00454BD6" w:rsidRPr="00A2680F">
        <w:rPr>
          <w:rFonts w:ascii="Garamond" w:hAnsi="Garamond" w:cs="Times New Roman"/>
          <w:sz w:val="24"/>
          <w:szCs w:val="24"/>
        </w:rPr>
        <w:t xml:space="preserve"> </w:t>
      </w:r>
      <w:r w:rsidR="0082659D" w:rsidRPr="00A2680F">
        <w:rPr>
          <w:rFonts w:ascii="Garamond" w:hAnsi="Garamond" w:cs="Times New Roman"/>
          <w:sz w:val="24"/>
          <w:szCs w:val="24"/>
        </w:rPr>
        <w:t>Por ejemplo, d</w:t>
      </w:r>
      <w:r w:rsidR="00454BD6" w:rsidRPr="00A2680F">
        <w:rPr>
          <w:rFonts w:ascii="Garamond" w:hAnsi="Garamond" w:cs="Times New Roman"/>
          <w:sz w:val="24"/>
          <w:szCs w:val="24"/>
        </w:rPr>
        <w:t>on Josef al querer defenderse de los cargos hechos por s</w:t>
      </w:r>
      <w:r w:rsidR="0082659D" w:rsidRPr="00A2680F">
        <w:rPr>
          <w:rFonts w:ascii="Garamond" w:hAnsi="Garamond" w:cs="Times New Roman"/>
          <w:sz w:val="24"/>
          <w:szCs w:val="24"/>
        </w:rPr>
        <w:t>u esclava</w:t>
      </w:r>
      <w:r w:rsidR="00664770" w:rsidRPr="00A2680F">
        <w:rPr>
          <w:rFonts w:ascii="Garamond" w:hAnsi="Garamond" w:cs="Times New Roman"/>
          <w:sz w:val="24"/>
          <w:szCs w:val="24"/>
        </w:rPr>
        <w:t>,</w:t>
      </w:r>
      <w:r w:rsidR="00FC11E9" w:rsidRPr="00A2680F">
        <w:rPr>
          <w:rFonts w:ascii="Garamond" w:hAnsi="Garamond" w:cs="Times New Roman"/>
          <w:sz w:val="24"/>
          <w:szCs w:val="24"/>
        </w:rPr>
        <w:t xml:space="preserve"> buscó que</w:t>
      </w:r>
      <w:r w:rsidR="00454BD6" w:rsidRPr="00A2680F">
        <w:rPr>
          <w:rFonts w:ascii="Garamond" w:hAnsi="Garamond" w:cs="Times New Roman"/>
          <w:sz w:val="24"/>
          <w:szCs w:val="24"/>
        </w:rPr>
        <w:t xml:space="preserve"> las declaraciones de los testigos demostraran que él y su esposa eran cristianos de buena conducta, costumbres ejemplares y amos benignos</w:t>
      </w:r>
      <w:r w:rsidR="0021464E" w:rsidRPr="00A2680F">
        <w:rPr>
          <w:rStyle w:val="Refdenotaalpie"/>
          <w:rFonts w:ascii="Garamond" w:hAnsi="Garamond" w:cs="Times New Roman"/>
          <w:sz w:val="24"/>
          <w:szCs w:val="24"/>
        </w:rPr>
        <w:footnoteReference w:id="19"/>
      </w:r>
      <w:r w:rsidR="00454BD6" w:rsidRPr="00A2680F">
        <w:rPr>
          <w:rFonts w:ascii="Garamond" w:hAnsi="Garamond" w:cs="Times New Roman"/>
          <w:sz w:val="24"/>
          <w:szCs w:val="24"/>
        </w:rPr>
        <w:t xml:space="preserve">. </w:t>
      </w:r>
      <w:r w:rsidR="0082659D" w:rsidRPr="00A2680F">
        <w:rPr>
          <w:rFonts w:ascii="Garamond" w:hAnsi="Garamond" w:cs="Times New Roman"/>
          <w:sz w:val="24"/>
          <w:szCs w:val="24"/>
        </w:rPr>
        <w:t>En l</w:t>
      </w:r>
      <w:r w:rsidR="00664770" w:rsidRPr="00A2680F">
        <w:rPr>
          <w:rFonts w:ascii="Garamond" w:hAnsi="Garamond" w:cs="Times New Roman"/>
          <w:sz w:val="24"/>
          <w:szCs w:val="24"/>
        </w:rPr>
        <w:t xml:space="preserve">as madrugadas se reunían las </w:t>
      </w:r>
      <w:r w:rsidR="0082659D" w:rsidRPr="00A2680F">
        <w:rPr>
          <w:rFonts w:ascii="Garamond" w:hAnsi="Garamond" w:cs="Times New Roman"/>
          <w:sz w:val="24"/>
          <w:szCs w:val="24"/>
        </w:rPr>
        <w:t>cautiv</w:t>
      </w:r>
      <w:r w:rsidR="00454BD6" w:rsidRPr="00A2680F">
        <w:rPr>
          <w:rFonts w:ascii="Garamond" w:hAnsi="Garamond" w:cs="Times New Roman"/>
          <w:sz w:val="24"/>
          <w:szCs w:val="24"/>
        </w:rPr>
        <w:t>as</w:t>
      </w:r>
      <w:r w:rsidR="00664770" w:rsidRPr="00A2680F">
        <w:rPr>
          <w:rFonts w:ascii="Garamond" w:hAnsi="Garamond" w:cs="Times New Roman"/>
          <w:sz w:val="24"/>
          <w:szCs w:val="24"/>
        </w:rPr>
        <w:t xml:space="preserve"> y sus dueños</w:t>
      </w:r>
      <w:r w:rsidR="0011284D" w:rsidRPr="00A2680F">
        <w:rPr>
          <w:rFonts w:ascii="Garamond" w:hAnsi="Garamond" w:cs="Times New Roman"/>
          <w:sz w:val="24"/>
          <w:szCs w:val="24"/>
        </w:rPr>
        <w:t xml:space="preserve"> a rezar</w:t>
      </w:r>
      <w:r w:rsidR="0082659D" w:rsidRPr="00A2680F">
        <w:rPr>
          <w:rFonts w:ascii="Garamond" w:hAnsi="Garamond" w:cs="Times New Roman"/>
          <w:sz w:val="24"/>
          <w:szCs w:val="24"/>
        </w:rPr>
        <w:t xml:space="preserve"> el rosario</w:t>
      </w:r>
      <w:r w:rsidR="0011284D" w:rsidRPr="00A2680F">
        <w:rPr>
          <w:rFonts w:ascii="Garamond" w:hAnsi="Garamond" w:cs="Times New Roman"/>
          <w:sz w:val="24"/>
          <w:szCs w:val="24"/>
        </w:rPr>
        <w:t>,</w:t>
      </w:r>
      <w:r w:rsidR="0082659D" w:rsidRPr="00A2680F">
        <w:rPr>
          <w:rFonts w:ascii="Garamond" w:hAnsi="Garamond" w:cs="Times New Roman"/>
          <w:sz w:val="24"/>
          <w:szCs w:val="24"/>
        </w:rPr>
        <w:t xml:space="preserve"> y</w:t>
      </w:r>
      <w:r w:rsidR="00454BD6" w:rsidRPr="00A2680F">
        <w:rPr>
          <w:rFonts w:ascii="Garamond" w:hAnsi="Garamond" w:cs="Times New Roman"/>
          <w:sz w:val="24"/>
          <w:szCs w:val="24"/>
        </w:rPr>
        <w:t xml:space="preserve"> los domingos se le permitía a Juana María asist</w:t>
      </w:r>
      <w:r w:rsidR="0082659D" w:rsidRPr="00A2680F">
        <w:rPr>
          <w:rFonts w:ascii="Garamond" w:hAnsi="Garamond" w:cs="Times New Roman"/>
          <w:sz w:val="24"/>
          <w:szCs w:val="24"/>
        </w:rPr>
        <w:t>ir a misa. A</w:t>
      </w:r>
      <w:r w:rsidR="00454BD6" w:rsidRPr="00A2680F">
        <w:rPr>
          <w:rFonts w:ascii="Garamond" w:hAnsi="Garamond" w:cs="Times New Roman"/>
          <w:sz w:val="24"/>
          <w:szCs w:val="24"/>
        </w:rPr>
        <w:t xml:space="preserve">demás, como lo testificó Asencio Josef Mejía: </w:t>
      </w:r>
      <w:r w:rsidR="00454BD6" w:rsidRPr="00A2680F">
        <w:rPr>
          <w:rFonts w:ascii="Garamond" w:hAnsi="Garamond" w:cs="Times New Roman"/>
          <w:i/>
          <w:iCs/>
          <w:sz w:val="24"/>
          <w:szCs w:val="24"/>
        </w:rPr>
        <w:t>“[…] los ha conocido por buenos cristianos que no les ha notado acción de mal ejemplo, ni lo ha oído decir, y que son de buena vida y costumbres, y que les ha visto cumplir con los divinos preceptos, sin hacer daño a nadie”</w:t>
      </w:r>
      <w:r w:rsidR="00454BD6" w:rsidRPr="00A2680F">
        <w:rPr>
          <w:rStyle w:val="Refdenotaalpie"/>
          <w:rFonts w:ascii="Garamond" w:hAnsi="Garamond" w:cs="Times New Roman"/>
          <w:sz w:val="24"/>
          <w:szCs w:val="24"/>
        </w:rPr>
        <w:footnoteReference w:id="20"/>
      </w:r>
      <w:r w:rsidR="0021464E" w:rsidRPr="00A2680F">
        <w:rPr>
          <w:rFonts w:ascii="Garamond" w:hAnsi="Garamond" w:cs="Times New Roman"/>
          <w:sz w:val="24"/>
          <w:szCs w:val="24"/>
        </w:rPr>
        <w:t>.</w:t>
      </w:r>
      <w:r w:rsidR="00454BD6" w:rsidRPr="00A2680F">
        <w:rPr>
          <w:rFonts w:ascii="Garamond" w:hAnsi="Garamond" w:cs="Times New Roman"/>
          <w:sz w:val="24"/>
          <w:szCs w:val="24"/>
        </w:rPr>
        <w:t xml:space="preserve"> </w:t>
      </w:r>
    </w:p>
    <w:p w14:paraId="06376D8D" w14:textId="77777777" w:rsidR="0039467F" w:rsidRPr="00A2680F" w:rsidRDefault="0039467F" w:rsidP="00A2680F">
      <w:pPr>
        <w:jc w:val="both"/>
        <w:rPr>
          <w:rFonts w:ascii="Garamond" w:hAnsi="Garamond" w:cs="Times New Roman"/>
          <w:sz w:val="24"/>
          <w:szCs w:val="24"/>
        </w:rPr>
      </w:pPr>
    </w:p>
    <w:p w14:paraId="52E0F6EE" w14:textId="792B6E8E"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Además</w:t>
      </w:r>
      <w:r w:rsidR="0011284D" w:rsidRPr="00A2680F">
        <w:rPr>
          <w:rFonts w:ascii="Garamond" w:hAnsi="Garamond" w:cs="Times New Roman"/>
          <w:sz w:val="24"/>
          <w:szCs w:val="24"/>
        </w:rPr>
        <w:t xml:space="preserve"> de mostra</w:t>
      </w:r>
      <w:r w:rsidR="00817C6E" w:rsidRPr="00A2680F">
        <w:rPr>
          <w:rFonts w:ascii="Garamond" w:hAnsi="Garamond" w:cs="Times New Roman"/>
          <w:sz w:val="24"/>
          <w:szCs w:val="24"/>
        </w:rPr>
        <w:t>rlos</w:t>
      </w:r>
      <w:r w:rsidRPr="00A2680F">
        <w:rPr>
          <w:rFonts w:ascii="Garamond" w:hAnsi="Garamond" w:cs="Times New Roman"/>
          <w:sz w:val="24"/>
          <w:szCs w:val="24"/>
        </w:rPr>
        <w:t xml:space="preserve"> como amos de corazón blando y temerosos de Dios, los testigos des</w:t>
      </w:r>
      <w:r w:rsidR="00C15361" w:rsidRPr="00A2680F">
        <w:rPr>
          <w:rFonts w:ascii="Garamond" w:hAnsi="Garamond" w:cs="Times New Roman"/>
          <w:sz w:val="24"/>
          <w:szCs w:val="24"/>
        </w:rPr>
        <w:t>mintieron la versión de la esclavizada sobr</w:t>
      </w:r>
      <w:r w:rsidRPr="00A2680F">
        <w:rPr>
          <w:rFonts w:ascii="Garamond" w:hAnsi="Garamond" w:cs="Times New Roman"/>
          <w:sz w:val="24"/>
          <w:szCs w:val="24"/>
        </w:rPr>
        <w:t>e la precariedad de su vestuario, pue</w:t>
      </w:r>
      <w:r w:rsidR="00FC11E9" w:rsidRPr="00A2680F">
        <w:rPr>
          <w:rFonts w:ascii="Garamond" w:hAnsi="Garamond" w:cs="Times New Roman"/>
          <w:sz w:val="24"/>
          <w:szCs w:val="24"/>
        </w:rPr>
        <w:t>sto que:</w:t>
      </w:r>
      <w:r w:rsidRPr="00A2680F">
        <w:rPr>
          <w:rFonts w:ascii="Garamond" w:hAnsi="Garamond" w:cs="Times New Roman"/>
          <w:sz w:val="24"/>
          <w:szCs w:val="24"/>
        </w:rPr>
        <w:t xml:space="preserve"> </w:t>
      </w:r>
      <w:r w:rsidRPr="00A2680F">
        <w:rPr>
          <w:rFonts w:ascii="Garamond" w:hAnsi="Garamond" w:cs="Times New Roman"/>
          <w:i/>
          <w:iCs/>
          <w:sz w:val="24"/>
          <w:szCs w:val="24"/>
        </w:rPr>
        <w:t>“[…] el que lo presenta la tenía y a sus hijas con una regular decencia conforme a su estado […] que la mulata siempre que iba a lavar llevaba su ropa de mudarse para lavar la que tenía puesta sucia y que para dentro de casa tenía dos pares de naguas de lienzo teñidas con añil, y que para salir al lugar tenía su ropa regular”</w:t>
      </w:r>
      <w:r w:rsidRPr="00A2680F">
        <w:rPr>
          <w:rStyle w:val="Refdenotaalpie"/>
          <w:rFonts w:ascii="Garamond" w:hAnsi="Garamond" w:cs="Times New Roman"/>
          <w:sz w:val="24"/>
          <w:szCs w:val="24"/>
        </w:rPr>
        <w:footnoteReference w:id="21"/>
      </w:r>
      <w:r w:rsidR="0021464E" w:rsidRPr="00A2680F">
        <w:rPr>
          <w:rFonts w:ascii="Garamond" w:hAnsi="Garamond" w:cs="Times New Roman"/>
          <w:sz w:val="24"/>
          <w:szCs w:val="24"/>
        </w:rPr>
        <w:t>.</w:t>
      </w:r>
      <w:r w:rsidRPr="00A2680F">
        <w:rPr>
          <w:rFonts w:ascii="Garamond" w:hAnsi="Garamond" w:cs="Times New Roman"/>
          <w:sz w:val="24"/>
          <w:szCs w:val="24"/>
        </w:rPr>
        <w:t xml:space="preserve"> En abril de 1797</w:t>
      </w:r>
      <w:r w:rsidR="00751843" w:rsidRPr="00A2680F">
        <w:rPr>
          <w:rFonts w:ascii="Garamond" w:hAnsi="Garamond" w:cs="Times New Roman"/>
          <w:sz w:val="24"/>
          <w:szCs w:val="24"/>
        </w:rPr>
        <w:t>, Gómez envió</w:t>
      </w:r>
      <w:r w:rsidRPr="00A2680F">
        <w:rPr>
          <w:rFonts w:ascii="Garamond" w:hAnsi="Garamond" w:cs="Times New Roman"/>
          <w:sz w:val="24"/>
          <w:szCs w:val="24"/>
        </w:rPr>
        <w:t xml:space="preserve"> un escrito al alcalde ordinario que contenía el cuestionario para los testigos que iba a presentar,</w:t>
      </w:r>
      <w:r w:rsidR="00751843" w:rsidRPr="00A2680F">
        <w:rPr>
          <w:rFonts w:ascii="Garamond" w:hAnsi="Garamond" w:cs="Times New Roman"/>
          <w:sz w:val="24"/>
          <w:szCs w:val="24"/>
        </w:rPr>
        <w:t xml:space="preserve"> y</w:t>
      </w:r>
      <w:r w:rsidRPr="00A2680F">
        <w:rPr>
          <w:rFonts w:ascii="Garamond" w:hAnsi="Garamond" w:cs="Times New Roman"/>
          <w:sz w:val="24"/>
          <w:szCs w:val="24"/>
        </w:rPr>
        <w:t xml:space="preserve"> en el encabe</w:t>
      </w:r>
      <w:r w:rsidR="00817C6E" w:rsidRPr="00A2680F">
        <w:rPr>
          <w:rFonts w:ascii="Garamond" w:hAnsi="Garamond" w:cs="Times New Roman"/>
          <w:sz w:val="24"/>
          <w:szCs w:val="24"/>
        </w:rPr>
        <w:t>zam</w:t>
      </w:r>
      <w:r w:rsidR="00C15361" w:rsidRPr="00A2680F">
        <w:rPr>
          <w:rFonts w:ascii="Garamond" w:hAnsi="Garamond" w:cs="Times New Roman"/>
          <w:sz w:val="24"/>
          <w:szCs w:val="24"/>
        </w:rPr>
        <w:t>iento del mismo se refirió a</w:t>
      </w:r>
      <w:r w:rsidRPr="00A2680F">
        <w:rPr>
          <w:rFonts w:ascii="Garamond" w:hAnsi="Garamond" w:cs="Times New Roman"/>
          <w:sz w:val="24"/>
          <w:szCs w:val="24"/>
        </w:rPr>
        <w:t xml:space="preserve"> su esclava como sigue: </w:t>
      </w:r>
      <w:r w:rsidRPr="00A2680F">
        <w:rPr>
          <w:rFonts w:ascii="Garamond" w:hAnsi="Garamond" w:cs="Times New Roman"/>
          <w:i/>
          <w:iCs/>
          <w:sz w:val="24"/>
          <w:szCs w:val="24"/>
        </w:rPr>
        <w:t>“[…] que todo cuanto expone esta rea en su confesión contra la blandura, suavidad y mansedumbre de mi mujer, y contra mi buena conducta, es manifiesta impostura procedida de la profunda malicia y conciencia reprobada en que está sepultada esta filicida”</w:t>
      </w:r>
      <w:r w:rsidRPr="00A2680F">
        <w:rPr>
          <w:rStyle w:val="Refdenotaalpie"/>
          <w:rFonts w:ascii="Garamond" w:hAnsi="Garamond" w:cs="Times New Roman"/>
          <w:sz w:val="24"/>
          <w:szCs w:val="24"/>
        </w:rPr>
        <w:footnoteReference w:id="22"/>
      </w:r>
      <w:r w:rsidR="0021464E" w:rsidRPr="00A2680F">
        <w:rPr>
          <w:rFonts w:ascii="Garamond" w:hAnsi="Garamond" w:cs="Times New Roman"/>
          <w:sz w:val="24"/>
          <w:szCs w:val="24"/>
        </w:rPr>
        <w:t>.</w:t>
      </w:r>
    </w:p>
    <w:p w14:paraId="1CF291AD" w14:textId="77777777" w:rsidR="0039467F" w:rsidRPr="00A2680F" w:rsidRDefault="0039467F" w:rsidP="00A2680F">
      <w:pPr>
        <w:jc w:val="both"/>
        <w:rPr>
          <w:rFonts w:ascii="Garamond" w:hAnsi="Garamond" w:cs="Times New Roman"/>
          <w:sz w:val="24"/>
          <w:szCs w:val="24"/>
        </w:rPr>
      </w:pPr>
    </w:p>
    <w:p w14:paraId="1B6DE680" w14:textId="3E0A5E5D"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Según Scott la apariencia de unanimidad y cohesión entre l</w:t>
      </w:r>
      <w:r w:rsidR="00F265A1" w:rsidRPr="00A2680F">
        <w:rPr>
          <w:rFonts w:ascii="Garamond" w:hAnsi="Garamond" w:cs="Times New Roman"/>
          <w:sz w:val="24"/>
          <w:szCs w:val="24"/>
        </w:rPr>
        <w:t>os grupos dominantes es otr</w:t>
      </w:r>
      <w:r w:rsidR="00F07167" w:rsidRPr="00A2680F">
        <w:rPr>
          <w:rFonts w:ascii="Garamond" w:hAnsi="Garamond" w:cs="Times New Roman"/>
          <w:sz w:val="24"/>
          <w:szCs w:val="24"/>
        </w:rPr>
        <w:t>a función de su</w:t>
      </w:r>
      <w:r w:rsidRPr="00A2680F">
        <w:rPr>
          <w:rFonts w:ascii="Garamond" w:hAnsi="Garamond" w:cs="Times New Roman"/>
          <w:sz w:val="24"/>
          <w:szCs w:val="24"/>
        </w:rPr>
        <w:t xml:space="preserve"> discurso. Los superiores deben </w:t>
      </w:r>
      <w:r w:rsidR="00367FF2" w:rsidRPr="00A2680F">
        <w:rPr>
          <w:rFonts w:ascii="Garamond" w:hAnsi="Garamond" w:cs="Times New Roman"/>
          <w:sz w:val="24"/>
          <w:szCs w:val="24"/>
        </w:rPr>
        <w:t>manifestar su unidad</w:t>
      </w:r>
      <w:r w:rsidRPr="00A2680F">
        <w:rPr>
          <w:rFonts w:ascii="Garamond" w:hAnsi="Garamond" w:cs="Times New Roman"/>
          <w:sz w:val="24"/>
          <w:szCs w:val="24"/>
        </w:rPr>
        <w:t xml:space="preserve"> o evitar al máximo una imagen pública de desarticulación, conflicto y desacuerdos</w:t>
      </w:r>
      <w:r w:rsidR="00FC54B1" w:rsidRPr="00A2680F">
        <w:rPr>
          <w:rStyle w:val="Refdenotaalpie"/>
          <w:rFonts w:ascii="Garamond" w:hAnsi="Garamond" w:cs="Times New Roman"/>
          <w:sz w:val="24"/>
          <w:szCs w:val="24"/>
        </w:rPr>
        <w:footnoteReference w:id="23"/>
      </w:r>
      <w:r w:rsidR="0085123C" w:rsidRPr="00A2680F">
        <w:rPr>
          <w:rFonts w:ascii="Garamond" w:hAnsi="Garamond" w:cs="Times New Roman"/>
          <w:sz w:val="24"/>
          <w:szCs w:val="24"/>
        </w:rPr>
        <w:t>.</w:t>
      </w:r>
      <w:r w:rsidRPr="00A2680F">
        <w:rPr>
          <w:rFonts w:ascii="Garamond" w:hAnsi="Garamond" w:cs="Times New Roman"/>
          <w:sz w:val="24"/>
          <w:szCs w:val="24"/>
        </w:rPr>
        <w:t xml:space="preserve"> Los espacios y prácticas que muestran la integración se observan, por ejemplo, en las alianzas matrimoniales, las redes sociales, el vestuario, lo</w:t>
      </w:r>
      <w:r w:rsidR="00367FF2" w:rsidRPr="00A2680F">
        <w:rPr>
          <w:rFonts w:ascii="Garamond" w:hAnsi="Garamond" w:cs="Times New Roman"/>
          <w:sz w:val="24"/>
          <w:szCs w:val="24"/>
        </w:rPr>
        <w:t>s modales, los carg</w:t>
      </w:r>
      <w:r w:rsidRPr="00A2680F">
        <w:rPr>
          <w:rFonts w:ascii="Garamond" w:hAnsi="Garamond" w:cs="Times New Roman"/>
          <w:sz w:val="24"/>
          <w:szCs w:val="24"/>
        </w:rPr>
        <w:t xml:space="preserve">os </w:t>
      </w:r>
      <w:r w:rsidR="00367FF2" w:rsidRPr="00A2680F">
        <w:rPr>
          <w:rFonts w:ascii="Garamond" w:hAnsi="Garamond" w:cs="Times New Roman"/>
          <w:sz w:val="24"/>
          <w:szCs w:val="24"/>
        </w:rPr>
        <w:t>públicos</w:t>
      </w:r>
      <w:r w:rsidRPr="00A2680F">
        <w:rPr>
          <w:rFonts w:ascii="Garamond" w:hAnsi="Garamond" w:cs="Times New Roman"/>
          <w:sz w:val="24"/>
          <w:szCs w:val="24"/>
        </w:rPr>
        <w:t>, el dialecto, las prácticas religiosas y los patrones de consumo.</w:t>
      </w:r>
      <w:r w:rsidR="00F265A1" w:rsidRPr="00A2680F">
        <w:rPr>
          <w:rFonts w:ascii="Garamond" w:hAnsi="Garamond" w:cs="Times New Roman"/>
          <w:sz w:val="24"/>
          <w:szCs w:val="24"/>
        </w:rPr>
        <w:t xml:space="preserve"> </w:t>
      </w:r>
      <w:r w:rsidRPr="00A2680F">
        <w:rPr>
          <w:rFonts w:ascii="Garamond" w:hAnsi="Garamond" w:cs="Times New Roman"/>
          <w:sz w:val="24"/>
          <w:szCs w:val="24"/>
        </w:rPr>
        <w:t>La cohesión de los</w:t>
      </w:r>
      <w:r w:rsidR="00F265A1" w:rsidRPr="00A2680F">
        <w:rPr>
          <w:rFonts w:ascii="Garamond" w:hAnsi="Garamond" w:cs="Times New Roman"/>
          <w:sz w:val="24"/>
          <w:szCs w:val="24"/>
        </w:rPr>
        <w:t xml:space="preserve"> vecinos acaudalados </w:t>
      </w:r>
      <w:r w:rsidRPr="00A2680F">
        <w:rPr>
          <w:rFonts w:ascii="Garamond" w:hAnsi="Garamond" w:cs="Times New Roman"/>
          <w:sz w:val="24"/>
          <w:szCs w:val="24"/>
        </w:rPr>
        <w:t xml:space="preserve">del Socorro se </w:t>
      </w:r>
      <w:r w:rsidR="00367FF2" w:rsidRPr="00A2680F">
        <w:rPr>
          <w:rFonts w:ascii="Garamond" w:hAnsi="Garamond" w:cs="Times New Roman"/>
          <w:sz w:val="24"/>
          <w:szCs w:val="24"/>
        </w:rPr>
        <w:t>mostró</w:t>
      </w:r>
      <w:r w:rsidRPr="00A2680F">
        <w:rPr>
          <w:rFonts w:ascii="Garamond" w:hAnsi="Garamond" w:cs="Times New Roman"/>
          <w:sz w:val="24"/>
          <w:szCs w:val="24"/>
        </w:rPr>
        <w:t xml:space="preserve"> en el respaldo que </w:t>
      </w:r>
      <w:r w:rsidRPr="00A2680F">
        <w:rPr>
          <w:rFonts w:ascii="Garamond" w:hAnsi="Garamond" w:cs="Times New Roman"/>
          <w:sz w:val="24"/>
          <w:szCs w:val="24"/>
        </w:rPr>
        <w:lastRenderedPageBreak/>
        <w:t xml:space="preserve">recibieron don Josef </w:t>
      </w:r>
      <w:r w:rsidR="00CD4BE1" w:rsidRPr="00A2680F">
        <w:rPr>
          <w:rFonts w:ascii="Garamond" w:hAnsi="Garamond" w:cs="Times New Roman"/>
          <w:sz w:val="24"/>
          <w:szCs w:val="24"/>
        </w:rPr>
        <w:t xml:space="preserve">Javier </w:t>
      </w:r>
      <w:r w:rsidRPr="00A2680F">
        <w:rPr>
          <w:rFonts w:ascii="Garamond" w:hAnsi="Garamond" w:cs="Times New Roman"/>
          <w:sz w:val="24"/>
          <w:szCs w:val="24"/>
        </w:rPr>
        <w:t>y doña Victoria de las autoridades civiles y de los testigos cuando su esclava trató de implicarlos en el filicidio. El grupo de decla</w:t>
      </w:r>
      <w:r w:rsidR="00367FF2" w:rsidRPr="00A2680F">
        <w:rPr>
          <w:rFonts w:ascii="Garamond" w:hAnsi="Garamond" w:cs="Times New Roman"/>
          <w:sz w:val="24"/>
          <w:szCs w:val="24"/>
        </w:rPr>
        <w:t>rantes presentados por Gómez indic</w:t>
      </w:r>
      <w:r w:rsidRPr="00A2680F">
        <w:rPr>
          <w:rFonts w:ascii="Garamond" w:hAnsi="Garamond" w:cs="Times New Roman"/>
          <w:sz w:val="24"/>
          <w:szCs w:val="24"/>
        </w:rPr>
        <w:t>a las posibles red</w:t>
      </w:r>
      <w:r w:rsidR="00367FF2" w:rsidRPr="00A2680F">
        <w:rPr>
          <w:rFonts w:ascii="Garamond" w:hAnsi="Garamond" w:cs="Times New Roman"/>
          <w:sz w:val="24"/>
          <w:szCs w:val="24"/>
        </w:rPr>
        <w:t>es sociales</w:t>
      </w:r>
      <w:r w:rsidRPr="00A2680F">
        <w:rPr>
          <w:rFonts w:ascii="Garamond" w:hAnsi="Garamond" w:cs="Times New Roman"/>
          <w:sz w:val="24"/>
          <w:szCs w:val="24"/>
        </w:rPr>
        <w:t xml:space="preserve"> basadas en la amistad, la solidaridad y la ayuda mutua. Entre ellos estaban don Tomás Martínez, Manuel de Ojeda -el anterior amo de Juana María- y el cirujano don Josef Miguel de la Zerda. Los individuos que testificaron no eran e</w:t>
      </w:r>
      <w:r w:rsidR="00F265A1" w:rsidRPr="00A2680F">
        <w:rPr>
          <w:rFonts w:ascii="Garamond" w:hAnsi="Garamond" w:cs="Times New Roman"/>
          <w:sz w:val="24"/>
          <w:szCs w:val="24"/>
        </w:rPr>
        <w:t>sc</w:t>
      </w:r>
      <w:r w:rsidR="00253B85" w:rsidRPr="00A2680F">
        <w:rPr>
          <w:rFonts w:ascii="Garamond" w:hAnsi="Garamond" w:cs="Times New Roman"/>
          <w:sz w:val="24"/>
          <w:szCs w:val="24"/>
        </w:rPr>
        <w:t>lavos, sino personajes de raíces hispánicas</w:t>
      </w:r>
      <w:r w:rsidRPr="00A2680F">
        <w:rPr>
          <w:rFonts w:ascii="Garamond" w:hAnsi="Garamond" w:cs="Times New Roman"/>
          <w:sz w:val="24"/>
          <w:szCs w:val="24"/>
        </w:rPr>
        <w:t xml:space="preserve"> que afirmaron la buena conducta y el infalible cristianismo de los propietarios. Ninguno de los declarantes puso en duda el trato adecuado a la condición merecida por Juana María y sus dos hijas, que cuando era necesario se debían aplicar los métodos disciplinarios. </w:t>
      </w:r>
    </w:p>
    <w:p w14:paraId="325F5AF4" w14:textId="77777777" w:rsidR="0039467F" w:rsidRPr="00A2680F" w:rsidRDefault="0039467F" w:rsidP="00A2680F">
      <w:pPr>
        <w:jc w:val="both"/>
        <w:rPr>
          <w:rFonts w:ascii="Garamond" w:hAnsi="Garamond" w:cs="Times New Roman"/>
          <w:sz w:val="24"/>
          <w:szCs w:val="24"/>
        </w:rPr>
      </w:pPr>
    </w:p>
    <w:p w14:paraId="62306E67" w14:textId="01E83137"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El uso de un lenguaje unificado que expresaba la culpabilidad de Juana María se evidenció a lo largo de la causa criminal. Jueces y te</w:t>
      </w:r>
      <w:r w:rsidR="00F6612F" w:rsidRPr="00A2680F">
        <w:rPr>
          <w:rFonts w:ascii="Garamond" w:hAnsi="Garamond" w:cs="Times New Roman"/>
          <w:sz w:val="24"/>
          <w:szCs w:val="24"/>
        </w:rPr>
        <w:t>stigos rodearon al dueño</w:t>
      </w:r>
      <w:r w:rsidRPr="00A2680F">
        <w:rPr>
          <w:rFonts w:ascii="Garamond" w:hAnsi="Garamond" w:cs="Times New Roman"/>
          <w:sz w:val="24"/>
          <w:szCs w:val="24"/>
        </w:rPr>
        <w:t xml:space="preserve"> para limpiar su honor y desmentir una posible culpa en el doble homicidio. Uno de los testigos más importantes del proceso, el ciruj</w:t>
      </w:r>
      <w:r w:rsidR="00F6612F" w:rsidRPr="00A2680F">
        <w:rPr>
          <w:rFonts w:ascii="Garamond" w:hAnsi="Garamond" w:cs="Times New Roman"/>
          <w:sz w:val="24"/>
          <w:szCs w:val="24"/>
        </w:rPr>
        <w:t>ano don Josef Miguel</w:t>
      </w:r>
      <w:r w:rsidRPr="00A2680F">
        <w:rPr>
          <w:rFonts w:ascii="Garamond" w:hAnsi="Garamond" w:cs="Times New Roman"/>
          <w:sz w:val="24"/>
          <w:szCs w:val="24"/>
        </w:rPr>
        <w:t>, fue directo en su declaración al decir que en una ocasión fue llamado</w:t>
      </w:r>
      <w:r w:rsidR="00F6612F" w:rsidRPr="00A2680F">
        <w:rPr>
          <w:rFonts w:ascii="Garamond" w:hAnsi="Garamond" w:cs="Times New Roman"/>
          <w:sz w:val="24"/>
          <w:szCs w:val="24"/>
        </w:rPr>
        <w:t xml:space="preserve"> a la casa de campo de Gómez</w:t>
      </w:r>
      <w:r w:rsidRPr="00A2680F">
        <w:rPr>
          <w:rFonts w:ascii="Garamond" w:hAnsi="Garamond" w:cs="Times New Roman"/>
          <w:sz w:val="24"/>
          <w:szCs w:val="24"/>
        </w:rPr>
        <w:t xml:space="preserve"> a examinar a la esclavita Mónica, puesto </w:t>
      </w:r>
      <w:r w:rsidRPr="00A2680F">
        <w:rPr>
          <w:rFonts w:ascii="Garamond" w:hAnsi="Garamond" w:cs="Times New Roman"/>
          <w:i/>
          <w:iCs/>
          <w:sz w:val="24"/>
          <w:szCs w:val="24"/>
        </w:rPr>
        <w:t>“[…] que es cierto que la mulata Juana María castigaba mucho a sus hijas, y que es cierto que un día castigó mucho a su hija mayor hasta troncarle la pierna […]”</w:t>
      </w:r>
      <w:r w:rsidRPr="00A2680F">
        <w:rPr>
          <w:rStyle w:val="Refdenotaalpie"/>
          <w:rFonts w:ascii="Garamond" w:hAnsi="Garamond" w:cs="Times New Roman"/>
          <w:sz w:val="24"/>
          <w:szCs w:val="24"/>
        </w:rPr>
        <w:footnoteReference w:id="24"/>
      </w:r>
      <w:r w:rsidR="00FC54B1" w:rsidRPr="00A2680F">
        <w:rPr>
          <w:rFonts w:ascii="Garamond" w:hAnsi="Garamond" w:cs="Times New Roman"/>
          <w:sz w:val="24"/>
          <w:szCs w:val="24"/>
        </w:rPr>
        <w:t>.</w:t>
      </w:r>
      <w:r w:rsidRPr="00A2680F">
        <w:rPr>
          <w:rFonts w:ascii="Garamond" w:hAnsi="Garamond" w:cs="Times New Roman"/>
          <w:sz w:val="24"/>
          <w:szCs w:val="24"/>
        </w:rPr>
        <w:t xml:space="preserve"> </w:t>
      </w:r>
      <w:r w:rsidR="00F6612F" w:rsidRPr="00A2680F">
        <w:rPr>
          <w:rFonts w:ascii="Garamond" w:hAnsi="Garamond" w:cs="Times New Roman"/>
          <w:sz w:val="24"/>
          <w:szCs w:val="24"/>
        </w:rPr>
        <w:t xml:space="preserve">Sobre este asunto, testificó </w:t>
      </w:r>
      <w:r w:rsidRPr="00A2680F">
        <w:rPr>
          <w:rFonts w:ascii="Garamond" w:hAnsi="Garamond" w:cs="Times New Roman"/>
          <w:sz w:val="24"/>
          <w:szCs w:val="24"/>
        </w:rPr>
        <w:t>Juan Josef</w:t>
      </w:r>
      <w:r w:rsidR="00F6612F" w:rsidRPr="00A2680F">
        <w:rPr>
          <w:rFonts w:ascii="Garamond" w:hAnsi="Garamond" w:cs="Times New Roman"/>
          <w:sz w:val="24"/>
          <w:szCs w:val="24"/>
        </w:rPr>
        <w:t xml:space="preserve"> Moreno:</w:t>
      </w:r>
      <w:r w:rsidRPr="00A2680F">
        <w:rPr>
          <w:rFonts w:ascii="Garamond" w:hAnsi="Garamond" w:cs="Times New Roman"/>
          <w:sz w:val="24"/>
          <w:szCs w:val="24"/>
        </w:rPr>
        <w:t xml:space="preserve"> </w:t>
      </w:r>
      <w:r w:rsidRPr="00A2680F">
        <w:rPr>
          <w:rFonts w:ascii="Garamond" w:hAnsi="Garamond" w:cs="Times New Roman"/>
          <w:i/>
          <w:iCs/>
          <w:sz w:val="24"/>
          <w:szCs w:val="24"/>
        </w:rPr>
        <w:t>“[…] que el día que le dislocó la pierna a la mulatica dicha sino hubiera sido por la defensa que hizo la mujer del que lo presenta la hubiera matado […]”</w:t>
      </w:r>
      <w:r w:rsidRPr="00A2680F">
        <w:rPr>
          <w:rStyle w:val="Refdenotaalpie"/>
          <w:rFonts w:ascii="Garamond" w:hAnsi="Garamond" w:cs="Times New Roman"/>
          <w:sz w:val="24"/>
          <w:szCs w:val="24"/>
        </w:rPr>
        <w:footnoteReference w:id="25"/>
      </w:r>
      <w:r w:rsidR="00FC54B1" w:rsidRPr="00A2680F">
        <w:rPr>
          <w:rFonts w:ascii="Garamond" w:hAnsi="Garamond" w:cs="Times New Roman"/>
          <w:sz w:val="24"/>
          <w:szCs w:val="24"/>
        </w:rPr>
        <w:t>.</w:t>
      </w:r>
    </w:p>
    <w:p w14:paraId="6AAB4604" w14:textId="77777777" w:rsidR="0039467F" w:rsidRPr="00A2680F" w:rsidRDefault="0039467F" w:rsidP="00A2680F">
      <w:pPr>
        <w:jc w:val="both"/>
        <w:rPr>
          <w:rFonts w:ascii="Garamond" w:hAnsi="Garamond" w:cs="Times New Roman"/>
          <w:sz w:val="24"/>
          <w:szCs w:val="24"/>
        </w:rPr>
      </w:pPr>
    </w:p>
    <w:p w14:paraId="77083E34" w14:textId="0582FCA2"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El 11 de marzo del mismo año</w:t>
      </w:r>
      <w:r w:rsidR="00A72304" w:rsidRPr="00A2680F">
        <w:rPr>
          <w:rFonts w:ascii="Garamond" w:hAnsi="Garamond" w:cs="Times New Roman"/>
          <w:sz w:val="24"/>
          <w:szCs w:val="24"/>
        </w:rPr>
        <w:t>,</w:t>
      </w:r>
      <w:r w:rsidRPr="00A2680F">
        <w:rPr>
          <w:rFonts w:ascii="Garamond" w:hAnsi="Garamond" w:cs="Times New Roman"/>
          <w:sz w:val="24"/>
          <w:szCs w:val="24"/>
        </w:rPr>
        <w:t xml:space="preserve"> el alcalde don Salvador Plata</w:t>
      </w:r>
      <w:r w:rsidR="00A72304" w:rsidRPr="00A2680F">
        <w:rPr>
          <w:rFonts w:ascii="Garamond" w:hAnsi="Garamond" w:cs="Times New Roman"/>
          <w:sz w:val="24"/>
          <w:szCs w:val="24"/>
        </w:rPr>
        <w:t>, rico comerciante y hacendado,</w:t>
      </w:r>
      <w:r w:rsidRPr="00A2680F">
        <w:rPr>
          <w:rFonts w:ascii="Garamond" w:hAnsi="Garamond" w:cs="Times New Roman"/>
          <w:sz w:val="24"/>
          <w:szCs w:val="24"/>
        </w:rPr>
        <w:t xml:space="preserve"> se había referido al delito como </w:t>
      </w:r>
      <w:r w:rsidRPr="00A2680F">
        <w:rPr>
          <w:rFonts w:ascii="Garamond" w:hAnsi="Garamond" w:cs="Times New Roman"/>
          <w:i/>
          <w:iCs/>
          <w:sz w:val="24"/>
          <w:szCs w:val="24"/>
        </w:rPr>
        <w:t>“las muertes alevosas que ejercitó en sus hijas”</w:t>
      </w:r>
      <w:r w:rsidRPr="00A2680F">
        <w:rPr>
          <w:rStyle w:val="Refdenotaalpie"/>
          <w:rFonts w:ascii="Garamond" w:hAnsi="Garamond" w:cs="Times New Roman"/>
          <w:sz w:val="24"/>
          <w:szCs w:val="24"/>
        </w:rPr>
        <w:footnoteReference w:id="26"/>
      </w:r>
      <w:r w:rsidRPr="00A2680F">
        <w:rPr>
          <w:rFonts w:ascii="Garamond" w:hAnsi="Garamond" w:cs="Times New Roman"/>
          <w:sz w:val="24"/>
          <w:szCs w:val="24"/>
        </w:rPr>
        <w:t>; mientras que en enero de 1802 el promotor fiscal, Francisco</w:t>
      </w:r>
      <w:r w:rsidR="00FC11E9" w:rsidRPr="00A2680F">
        <w:rPr>
          <w:rFonts w:ascii="Garamond" w:hAnsi="Garamond" w:cs="Times New Roman"/>
          <w:sz w:val="24"/>
          <w:szCs w:val="24"/>
        </w:rPr>
        <w:t xml:space="preserve"> Tristancho, dijo que, </w:t>
      </w:r>
      <w:r w:rsidRPr="00A2680F">
        <w:rPr>
          <w:rFonts w:ascii="Garamond" w:hAnsi="Garamond" w:cs="Times New Roman"/>
          <w:i/>
          <w:iCs/>
          <w:sz w:val="24"/>
          <w:szCs w:val="24"/>
        </w:rPr>
        <w:t>“[…] más sin ejemplar nunca visto que su propia madre sirviéndose de verdugo para quitar a las que a costa de derramar su sangre había dado la vida natural. Por tanto a esta maldita madre se le castigará su execrable delito con la pena ordinaria de muerte para que sirva de escarmiento y satisfacción a la vindicta pública”</w:t>
      </w:r>
      <w:r w:rsidRPr="00A2680F">
        <w:rPr>
          <w:rStyle w:val="Refdenotaalpie"/>
          <w:rFonts w:ascii="Garamond" w:hAnsi="Garamond" w:cs="Times New Roman"/>
          <w:sz w:val="24"/>
          <w:szCs w:val="24"/>
        </w:rPr>
        <w:footnoteReference w:id="27"/>
      </w:r>
      <w:r w:rsidR="00FC54B1" w:rsidRPr="00A2680F">
        <w:rPr>
          <w:rFonts w:ascii="Garamond" w:hAnsi="Garamond" w:cs="Times New Roman"/>
          <w:sz w:val="24"/>
          <w:szCs w:val="24"/>
        </w:rPr>
        <w:t>.</w:t>
      </w:r>
      <w:r w:rsidRPr="00A2680F">
        <w:rPr>
          <w:rFonts w:ascii="Garamond" w:hAnsi="Garamond" w:cs="Times New Roman"/>
          <w:sz w:val="24"/>
          <w:szCs w:val="24"/>
        </w:rPr>
        <w:t xml:space="preserve"> </w:t>
      </w:r>
    </w:p>
    <w:p w14:paraId="5F5F3BF0" w14:textId="77777777" w:rsidR="0039467F" w:rsidRPr="00A2680F" w:rsidRDefault="0039467F" w:rsidP="00A2680F">
      <w:pPr>
        <w:jc w:val="both"/>
        <w:rPr>
          <w:rFonts w:ascii="Garamond" w:hAnsi="Garamond" w:cs="Times New Roman"/>
          <w:sz w:val="24"/>
          <w:szCs w:val="24"/>
        </w:rPr>
      </w:pPr>
    </w:p>
    <w:p w14:paraId="12475A76" w14:textId="41BF8857"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El pleito fue llevado de tal manera que se buscó liberar a los amos de cualquier influencia en el delito cometido por su esclava, inculpándola totalmente y condenándola a pena de muerte.  Desde el reconocimiento de los cadáveres s</w:t>
      </w:r>
      <w:r w:rsidR="00A72304" w:rsidRPr="00A2680F">
        <w:rPr>
          <w:rFonts w:ascii="Garamond" w:hAnsi="Garamond" w:cs="Times New Roman"/>
          <w:sz w:val="24"/>
          <w:szCs w:val="24"/>
        </w:rPr>
        <w:t>e buscó salvaguardar a Gómez</w:t>
      </w:r>
      <w:r w:rsidRPr="00A2680F">
        <w:rPr>
          <w:rFonts w:ascii="Garamond" w:hAnsi="Garamond" w:cs="Times New Roman"/>
          <w:sz w:val="24"/>
          <w:szCs w:val="24"/>
        </w:rPr>
        <w:t xml:space="preserve"> y a su esposa</w:t>
      </w:r>
      <w:r w:rsidR="00FD5B5A" w:rsidRPr="00A2680F">
        <w:rPr>
          <w:rFonts w:ascii="Garamond" w:hAnsi="Garamond" w:cs="Times New Roman"/>
          <w:sz w:val="24"/>
          <w:szCs w:val="24"/>
        </w:rPr>
        <w:t>, dado que la justicia local</w:t>
      </w:r>
      <w:r w:rsidRPr="00A2680F">
        <w:rPr>
          <w:rFonts w:ascii="Garamond" w:hAnsi="Garamond" w:cs="Times New Roman"/>
          <w:sz w:val="24"/>
          <w:szCs w:val="24"/>
        </w:rPr>
        <w:t xml:space="preserve"> confió al referido y a dos de sus colaboradores el examen de los cuerpos, </w:t>
      </w:r>
      <w:r w:rsidRPr="00A2680F">
        <w:rPr>
          <w:rFonts w:ascii="Garamond" w:hAnsi="Garamond" w:cs="Times New Roman"/>
          <w:i/>
          <w:iCs/>
          <w:sz w:val="24"/>
          <w:szCs w:val="24"/>
        </w:rPr>
        <w:t xml:space="preserve">“[…] habiéndoles desnudado no le hallaron señal ni maltratamiento alguno pues la mulatica mayor solo estaba </w:t>
      </w:r>
      <w:r w:rsidRPr="00A2680F">
        <w:rPr>
          <w:rFonts w:ascii="Garamond" w:hAnsi="Garamond" w:cs="Times New Roman"/>
          <w:i/>
          <w:iCs/>
          <w:sz w:val="24"/>
          <w:szCs w:val="24"/>
        </w:rPr>
        <w:lastRenderedPageBreak/>
        <w:t>aún todavía arrojando agua […]”</w:t>
      </w:r>
      <w:r w:rsidRPr="00A2680F">
        <w:rPr>
          <w:rStyle w:val="Refdenotaalpie"/>
          <w:rFonts w:ascii="Garamond" w:hAnsi="Garamond" w:cs="Times New Roman"/>
          <w:sz w:val="24"/>
          <w:szCs w:val="24"/>
        </w:rPr>
        <w:footnoteReference w:id="28"/>
      </w:r>
      <w:r w:rsidR="00FC54B1" w:rsidRPr="00A2680F">
        <w:rPr>
          <w:rFonts w:ascii="Garamond" w:hAnsi="Garamond" w:cs="Times New Roman"/>
          <w:sz w:val="24"/>
          <w:szCs w:val="24"/>
        </w:rPr>
        <w:t>.</w:t>
      </w:r>
      <w:r w:rsidRPr="00A2680F">
        <w:rPr>
          <w:rFonts w:ascii="Garamond" w:hAnsi="Garamond" w:cs="Times New Roman"/>
          <w:sz w:val="24"/>
          <w:szCs w:val="24"/>
        </w:rPr>
        <w:t xml:space="preserve"> Las pruebas recogidas, </w:t>
      </w:r>
      <w:r w:rsidR="000F4E78" w:rsidRPr="00A2680F">
        <w:rPr>
          <w:rFonts w:ascii="Garamond" w:hAnsi="Garamond" w:cs="Times New Roman"/>
          <w:sz w:val="24"/>
          <w:szCs w:val="24"/>
        </w:rPr>
        <w:t>los testimonios</w:t>
      </w:r>
      <w:r w:rsidRPr="00A2680F">
        <w:rPr>
          <w:rFonts w:ascii="Garamond" w:hAnsi="Garamond" w:cs="Times New Roman"/>
          <w:sz w:val="24"/>
          <w:szCs w:val="24"/>
        </w:rPr>
        <w:t xml:space="preserve"> y la imposibilidad de la presentación</w:t>
      </w:r>
      <w:r w:rsidR="00A72304" w:rsidRPr="00A2680F">
        <w:rPr>
          <w:rFonts w:ascii="Garamond" w:hAnsi="Garamond" w:cs="Times New Roman"/>
          <w:sz w:val="24"/>
          <w:szCs w:val="24"/>
        </w:rPr>
        <w:t xml:space="preserve"> de testigos por parte de la acusada</w:t>
      </w:r>
      <w:r w:rsidRPr="00A2680F">
        <w:rPr>
          <w:rFonts w:ascii="Garamond" w:hAnsi="Garamond" w:cs="Times New Roman"/>
          <w:sz w:val="24"/>
          <w:szCs w:val="24"/>
        </w:rPr>
        <w:t xml:space="preserve"> indican los mecanismos empleados por un grupo social que tenía como objetivo eliminar cualquier posib</w:t>
      </w:r>
      <w:r w:rsidR="002D6885" w:rsidRPr="00A2680F">
        <w:rPr>
          <w:rFonts w:ascii="Garamond" w:hAnsi="Garamond" w:cs="Times New Roman"/>
          <w:sz w:val="24"/>
          <w:szCs w:val="24"/>
        </w:rPr>
        <w:t xml:space="preserve">ilidad de culpa de </w:t>
      </w:r>
      <w:r w:rsidR="00FC59BB" w:rsidRPr="00A2680F">
        <w:rPr>
          <w:rFonts w:ascii="Garamond" w:hAnsi="Garamond" w:cs="Times New Roman"/>
          <w:sz w:val="24"/>
          <w:szCs w:val="24"/>
        </w:rPr>
        <w:t>los am</w:t>
      </w:r>
      <w:r w:rsidR="002D6885" w:rsidRPr="00A2680F">
        <w:rPr>
          <w:rFonts w:ascii="Garamond" w:hAnsi="Garamond" w:cs="Times New Roman"/>
          <w:sz w:val="24"/>
          <w:szCs w:val="24"/>
        </w:rPr>
        <w:t>os</w:t>
      </w:r>
      <w:r w:rsidRPr="00A2680F">
        <w:rPr>
          <w:rFonts w:ascii="Garamond" w:hAnsi="Garamond" w:cs="Times New Roman"/>
          <w:sz w:val="24"/>
          <w:szCs w:val="24"/>
        </w:rPr>
        <w:t>.</w:t>
      </w:r>
      <w:r w:rsidR="00A2257E" w:rsidRPr="00A2680F">
        <w:rPr>
          <w:rFonts w:ascii="Garamond" w:hAnsi="Garamond" w:cs="Times New Roman"/>
          <w:sz w:val="24"/>
          <w:szCs w:val="24"/>
        </w:rPr>
        <w:t xml:space="preserve"> </w:t>
      </w:r>
      <w:r w:rsidRPr="00A2680F">
        <w:rPr>
          <w:rFonts w:ascii="Garamond" w:hAnsi="Garamond" w:cs="Times New Roman"/>
          <w:sz w:val="24"/>
          <w:szCs w:val="24"/>
        </w:rPr>
        <w:t>La obligación de los jueces ordinarios del Socorro de ser imparciales e impartir justicia como lo ordenaba la ley fue opac</w:t>
      </w:r>
      <w:r w:rsidR="005D074D" w:rsidRPr="00A2680F">
        <w:rPr>
          <w:rFonts w:ascii="Garamond" w:hAnsi="Garamond" w:cs="Times New Roman"/>
          <w:sz w:val="24"/>
          <w:szCs w:val="24"/>
        </w:rPr>
        <w:t>ada por el compromiso con los dueñ</w:t>
      </w:r>
      <w:r w:rsidRPr="00A2680F">
        <w:rPr>
          <w:rFonts w:ascii="Garamond" w:hAnsi="Garamond" w:cs="Times New Roman"/>
          <w:sz w:val="24"/>
          <w:szCs w:val="24"/>
        </w:rPr>
        <w:t xml:space="preserve">os. En este caso se ve que los favores y las amistades inclinaron la balanza a favor de </w:t>
      </w:r>
      <w:r w:rsidR="00D350A6" w:rsidRPr="00A2680F">
        <w:rPr>
          <w:rFonts w:ascii="Garamond" w:hAnsi="Garamond" w:cs="Times New Roman"/>
          <w:sz w:val="24"/>
          <w:szCs w:val="24"/>
        </w:rPr>
        <w:t>los señore</w:t>
      </w:r>
      <w:r w:rsidRPr="00A2680F">
        <w:rPr>
          <w:rFonts w:ascii="Garamond" w:hAnsi="Garamond" w:cs="Times New Roman"/>
          <w:sz w:val="24"/>
          <w:szCs w:val="24"/>
        </w:rPr>
        <w:t xml:space="preserve">s, pues salió a flote la identificación como grupo en una sociedad donde se discriminaban a los rangos sociales inferiores, especialmente a los esclavos. </w:t>
      </w:r>
      <w:r w:rsidR="00100A24" w:rsidRPr="00A2680F">
        <w:rPr>
          <w:rFonts w:ascii="Garamond" w:hAnsi="Garamond" w:cs="Times New Roman"/>
          <w:sz w:val="24"/>
          <w:szCs w:val="24"/>
        </w:rPr>
        <w:t>Además,</w:t>
      </w:r>
      <w:r w:rsidRPr="00A2680F">
        <w:rPr>
          <w:rFonts w:ascii="Garamond" w:hAnsi="Garamond" w:cs="Times New Roman"/>
          <w:sz w:val="24"/>
          <w:szCs w:val="24"/>
        </w:rPr>
        <w:t xml:space="preserve"> los alcaldes conocían los inconvenientes que podían ocasionar la pérdida de un esclavo</w:t>
      </w:r>
      <w:r w:rsidR="00FC54B1" w:rsidRPr="00A2680F">
        <w:rPr>
          <w:rStyle w:val="Refdenotaalpie"/>
          <w:rFonts w:ascii="Garamond" w:hAnsi="Garamond" w:cs="Times New Roman"/>
          <w:sz w:val="24"/>
          <w:szCs w:val="24"/>
        </w:rPr>
        <w:footnoteReference w:id="29"/>
      </w:r>
      <w:r w:rsidR="00FC11E9" w:rsidRPr="00A2680F">
        <w:rPr>
          <w:rFonts w:ascii="Garamond" w:hAnsi="Garamond" w:cs="Times New Roman"/>
          <w:sz w:val="24"/>
          <w:szCs w:val="24"/>
        </w:rPr>
        <w:t>.</w:t>
      </w:r>
    </w:p>
    <w:p w14:paraId="56662739" w14:textId="77777777" w:rsidR="004860AE" w:rsidRPr="00A2680F" w:rsidRDefault="004860AE" w:rsidP="00A2680F">
      <w:pPr>
        <w:jc w:val="both"/>
        <w:rPr>
          <w:rFonts w:ascii="Garamond" w:hAnsi="Garamond" w:cs="Times New Roman"/>
          <w:sz w:val="24"/>
          <w:szCs w:val="24"/>
        </w:rPr>
      </w:pPr>
    </w:p>
    <w:p w14:paraId="27FBA50D" w14:textId="77777777" w:rsidR="00454BD6" w:rsidRPr="00A2680F" w:rsidRDefault="00EC675D" w:rsidP="00A2680F">
      <w:pPr>
        <w:jc w:val="both"/>
        <w:rPr>
          <w:rFonts w:ascii="Garamond" w:hAnsi="Garamond" w:cs="Times New Roman"/>
          <w:b/>
          <w:sz w:val="24"/>
          <w:szCs w:val="24"/>
        </w:rPr>
      </w:pPr>
      <w:r w:rsidRPr="00A2680F">
        <w:rPr>
          <w:rFonts w:ascii="Garamond" w:hAnsi="Garamond" w:cs="Times New Roman"/>
          <w:b/>
          <w:sz w:val="24"/>
          <w:szCs w:val="24"/>
        </w:rPr>
        <w:t>2</w:t>
      </w:r>
      <w:r w:rsidR="00476676" w:rsidRPr="00A2680F">
        <w:rPr>
          <w:rFonts w:ascii="Garamond" w:hAnsi="Garamond" w:cs="Times New Roman"/>
          <w:b/>
          <w:sz w:val="24"/>
          <w:szCs w:val="24"/>
        </w:rPr>
        <w:t>.</w:t>
      </w:r>
      <w:r w:rsidR="00680C28" w:rsidRPr="00A2680F">
        <w:rPr>
          <w:rFonts w:ascii="Garamond" w:hAnsi="Garamond" w:cs="Times New Roman"/>
          <w:b/>
          <w:sz w:val="24"/>
          <w:szCs w:val="24"/>
        </w:rPr>
        <w:t xml:space="preserve"> Los artilugios</w:t>
      </w:r>
      <w:r w:rsidR="00FC11E9" w:rsidRPr="00A2680F">
        <w:rPr>
          <w:rFonts w:ascii="Garamond" w:hAnsi="Garamond" w:cs="Times New Roman"/>
          <w:b/>
          <w:sz w:val="24"/>
          <w:szCs w:val="24"/>
        </w:rPr>
        <w:t xml:space="preserve"> de la resistencia</w:t>
      </w:r>
    </w:p>
    <w:p w14:paraId="7BF7BA69" w14:textId="18F1CECD"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 xml:space="preserve">Como se </w:t>
      </w:r>
      <w:r w:rsidR="00E13C6C" w:rsidRPr="00A2680F">
        <w:rPr>
          <w:rFonts w:ascii="Garamond" w:hAnsi="Garamond" w:cs="Times New Roman"/>
          <w:sz w:val="24"/>
          <w:szCs w:val="24"/>
        </w:rPr>
        <w:t>ha po</w:t>
      </w:r>
      <w:r w:rsidRPr="00A2680F">
        <w:rPr>
          <w:rFonts w:ascii="Garamond" w:hAnsi="Garamond" w:cs="Times New Roman"/>
          <w:sz w:val="24"/>
          <w:szCs w:val="24"/>
        </w:rPr>
        <w:t>d</w:t>
      </w:r>
      <w:r w:rsidR="00E13C6C" w:rsidRPr="00A2680F">
        <w:rPr>
          <w:rFonts w:ascii="Garamond" w:hAnsi="Garamond" w:cs="Times New Roman"/>
          <w:sz w:val="24"/>
          <w:szCs w:val="24"/>
        </w:rPr>
        <w:t>id</w:t>
      </w:r>
      <w:r w:rsidRPr="00A2680F">
        <w:rPr>
          <w:rFonts w:ascii="Garamond" w:hAnsi="Garamond" w:cs="Times New Roman"/>
          <w:sz w:val="24"/>
          <w:szCs w:val="24"/>
        </w:rPr>
        <w:t>o esbozar, la interac</w:t>
      </w:r>
      <w:r w:rsidR="009D2E10" w:rsidRPr="00A2680F">
        <w:rPr>
          <w:rFonts w:ascii="Garamond" w:hAnsi="Garamond" w:cs="Times New Roman"/>
          <w:sz w:val="24"/>
          <w:szCs w:val="24"/>
        </w:rPr>
        <w:t>ción</w:t>
      </w:r>
      <w:r w:rsidR="00195625" w:rsidRPr="00A2680F">
        <w:rPr>
          <w:rFonts w:ascii="Garamond" w:hAnsi="Garamond" w:cs="Times New Roman"/>
          <w:sz w:val="24"/>
          <w:szCs w:val="24"/>
        </w:rPr>
        <w:t xml:space="preserve"> </w:t>
      </w:r>
      <w:r w:rsidR="008A1FBC" w:rsidRPr="00A2680F">
        <w:rPr>
          <w:rFonts w:ascii="Garamond" w:hAnsi="Garamond" w:cs="Times New Roman"/>
          <w:sz w:val="24"/>
          <w:szCs w:val="24"/>
        </w:rPr>
        <w:t xml:space="preserve">de </w:t>
      </w:r>
      <w:r w:rsidR="00195625" w:rsidRPr="00A2680F">
        <w:rPr>
          <w:rFonts w:ascii="Garamond" w:hAnsi="Garamond" w:cs="Times New Roman"/>
          <w:sz w:val="24"/>
          <w:szCs w:val="24"/>
        </w:rPr>
        <w:t xml:space="preserve">amos </w:t>
      </w:r>
      <w:r w:rsidR="009D2E10" w:rsidRPr="00A2680F">
        <w:rPr>
          <w:rFonts w:ascii="Garamond" w:hAnsi="Garamond" w:cs="Times New Roman"/>
          <w:sz w:val="24"/>
          <w:szCs w:val="24"/>
        </w:rPr>
        <w:t xml:space="preserve">como don Josef y doña Victoria </w:t>
      </w:r>
      <w:r w:rsidR="00195625" w:rsidRPr="00A2680F">
        <w:rPr>
          <w:rFonts w:ascii="Garamond" w:hAnsi="Garamond" w:cs="Times New Roman"/>
          <w:sz w:val="24"/>
          <w:szCs w:val="24"/>
        </w:rPr>
        <w:t>con sus</w:t>
      </w:r>
      <w:r w:rsidR="002D0E74" w:rsidRPr="00A2680F">
        <w:rPr>
          <w:rFonts w:ascii="Garamond" w:hAnsi="Garamond" w:cs="Times New Roman"/>
          <w:sz w:val="24"/>
          <w:szCs w:val="24"/>
        </w:rPr>
        <w:t xml:space="preserve"> esclavos se basaba en</w:t>
      </w:r>
      <w:r w:rsidR="00195625" w:rsidRPr="00A2680F">
        <w:rPr>
          <w:rFonts w:ascii="Garamond" w:hAnsi="Garamond" w:cs="Times New Roman"/>
          <w:sz w:val="24"/>
          <w:szCs w:val="24"/>
        </w:rPr>
        <w:t xml:space="preserve"> la</w:t>
      </w:r>
      <w:r w:rsidR="002D0E74" w:rsidRPr="00A2680F">
        <w:rPr>
          <w:rFonts w:ascii="Garamond" w:hAnsi="Garamond" w:cs="Times New Roman"/>
          <w:sz w:val="24"/>
          <w:szCs w:val="24"/>
        </w:rPr>
        <w:t xml:space="preserve"> obediencia,</w:t>
      </w:r>
      <w:r w:rsidR="00195625" w:rsidRPr="00A2680F">
        <w:rPr>
          <w:rFonts w:ascii="Garamond" w:hAnsi="Garamond" w:cs="Times New Roman"/>
          <w:sz w:val="24"/>
          <w:szCs w:val="24"/>
        </w:rPr>
        <w:t xml:space="preserve"> el control, las</w:t>
      </w:r>
      <w:r w:rsidR="002D0E74" w:rsidRPr="00A2680F">
        <w:rPr>
          <w:rFonts w:ascii="Garamond" w:hAnsi="Garamond" w:cs="Times New Roman"/>
          <w:sz w:val="24"/>
          <w:szCs w:val="24"/>
        </w:rPr>
        <w:t xml:space="preserve"> obligaciones, </w:t>
      </w:r>
      <w:r w:rsidR="00195625" w:rsidRPr="00A2680F">
        <w:rPr>
          <w:rFonts w:ascii="Garamond" w:hAnsi="Garamond" w:cs="Times New Roman"/>
          <w:sz w:val="24"/>
          <w:szCs w:val="24"/>
        </w:rPr>
        <w:t xml:space="preserve">los </w:t>
      </w:r>
      <w:r w:rsidR="002D0E74" w:rsidRPr="00A2680F">
        <w:rPr>
          <w:rFonts w:ascii="Garamond" w:hAnsi="Garamond" w:cs="Times New Roman"/>
          <w:sz w:val="24"/>
          <w:szCs w:val="24"/>
        </w:rPr>
        <w:t>malos tratos y</w:t>
      </w:r>
      <w:r w:rsidR="00195625" w:rsidRPr="00A2680F">
        <w:rPr>
          <w:rFonts w:ascii="Garamond" w:hAnsi="Garamond" w:cs="Times New Roman"/>
          <w:sz w:val="24"/>
          <w:szCs w:val="24"/>
        </w:rPr>
        <w:t xml:space="preserve"> las</w:t>
      </w:r>
      <w:r w:rsidRPr="00A2680F">
        <w:rPr>
          <w:rFonts w:ascii="Garamond" w:hAnsi="Garamond" w:cs="Times New Roman"/>
          <w:sz w:val="24"/>
          <w:szCs w:val="24"/>
        </w:rPr>
        <w:t xml:space="preserve"> relaciones forzadas de deferen</w:t>
      </w:r>
      <w:r w:rsidR="00A76B6D" w:rsidRPr="00A2680F">
        <w:rPr>
          <w:rFonts w:ascii="Garamond" w:hAnsi="Garamond" w:cs="Times New Roman"/>
          <w:sz w:val="24"/>
          <w:szCs w:val="24"/>
        </w:rPr>
        <w:t>ci</w:t>
      </w:r>
      <w:r w:rsidR="009D2E10" w:rsidRPr="00A2680F">
        <w:rPr>
          <w:rFonts w:ascii="Garamond" w:hAnsi="Garamond" w:cs="Times New Roman"/>
          <w:sz w:val="24"/>
          <w:szCs w:val="24"/>
        </w:rPr>
        <w:t>a</w:t>
      </w:r>
      <w:r w:rsidRPr="00A2680F">
        <w:rPr>
          <w:rFonts w:ascii="Garamond" w:hAnsi="Garamond" w:cs="Times New Roman"/>
          <w:sz w:val="24"/>
          <w:szCs w:val="24"/>
        </w:rPr>
        <w:t>. Sin embargo, la sumisión producía resistencia</w:t>
      </w:r>
      <w:r w:rsidR="00F326F4" w:rsidRPr="00A2680F">
        <w:rPr>
          <w:rFonts w:ascii="Garamond" w:hAnsi="Garamond" w:cs="Times New Roman"/>
          <w:sz w:val="24"/>
          <w:szCs w:val="24"/>
        </w:rPr>
        <w:t xml:space="preserve"> como forma de neutralizar, reaccionar y negar la dominación.</w:t>
      </w:r>
      <w:r w:rsidR="008E4AB9" w:rsidRPr="00A2680F">
        <w:rPr>
          <w:rFonts w:ascii="Garamond" w:hAnsi="Garamond" w:cs="Times New Roman"/>
          <w:sz w:val="24"/>
          <w:szCs w:val="24"/>
        </w:rPr>
        <w:t xml:space="preserve"> Algunas formas de resistencia se constituyeron en claras y peligrosas muestras de rebeldía como atacar a amos y mayordomos o huir al “monte” en grupos o individualmente</w:t>
      </w:r>
      <w:r w:rsidR="00C05136" w:rsidRPr="00A2680F">
        <w:rPr>
          <w:rFonts w:ascii="Garamond" w:hAnsi="Garamond" w:cs="Times New Roman"/>
          <w:sz w:val="24"/>
          <w:szCs w:val="24"/>
        </w:rPr>
        <w:t>,</w:t>
      </w:r>
      <w:r w:rsidR="008E4AB9" w:rsidRPr="00A2680F">
        <w:rPr>
          <w:rFonts w:ascii="Garamond" w:hAnsi="Garamond" w:cs="Times New Roman"/>
          <w:sz w:val="24"/>
          <w:szCs w:val="24"/>
        </w:rPr>
        <w:t xml:space="preserve"> como</w:t>
      </w:r>
      <w:r w:rsidR="00C05136" w:rsidRPr="00A2680F">
        <w:rPr>
          <w:rFonts w:ascii="Garamond" w:hAnsi="Garamond" w:cs="Times New Roman"/>
          <w:sz w:val="24"/>
          <w:szCs w:val="24"/>
        </w:rPr>
        <w:t xml:space="preserve"> sucedió</w:t>
      </w:r>
      <w:r w:rsidR="008E4AB9" w:rsidRPr="00A2680F">
        <w:rPr>
          <w:rFonts w:ascii="Garamond" w:hAnsi="Garamond" w:cs="Times New Roman"/>
          <w:sz w:val="24"/>
          <w:szCs w:val="24"/>
        </w:rPr>
        <w:t xml:space="preserve"> en el valle de Chota-Mira en la Audiencia de Quito</w:t>
      </w:r>
      <w:r w:rsidR="00FC54B1" w:rsidRPr="00A2680F">
        <w:rPr>
          <w:rStyle w:val="Refdenotaalpie"/>
          <w:rFonts w:ascii="Garamond" w:hAnsi="Garamond" w:cs="Times New Roman"/>
          <w:sz w:val="24"/>
          <w:szCs w:val="24"/>
        </w:rPr>
        <w:footnoteReference w:id="30"/>
      </w:r>
      <w:r w:rsidR="008E4AB9" w:rsidRPr="00A2680F">
        <w:rPr>
          <w:rFonts w:ascii="Garamond" w:hAnsi="Garamond" w:cs="Times New Roman"/>
          <w:sz w:val="24"/>
          <w:szCs w:val="24"/>
        </w:rPr>
        <w:t>.</w:t>
      </w:r>
      <w:r w:rsidR="00533C80" w:rsidRPr="00A2680F">
        <w:rPr>
          <w:rFonts w:ascii="Garamond" w:hAnsi="Garamond" w:cs="Times New Roman"/>
          <w:sz w:val="24"/>
          <w:szCs w:val="24"/>
        </w:rPr>
        <w:t xml:space="preserve"> </w:t>
      </w:r>
      <w:r w:rsidR="00314B2A" w:rsidRPr="00A2680F">
        <w:rPr>
          <w:rFonts w:ascii="Garamond" w:hAnsi="Garamond" w:cs="Times New Roman"/>
          <w:sz w:val="24"/>
          <w:szCs w:val="24"/>
        </w:rPr>
        <w:t>No obstante, algun</w:t>
      </w:r>
      <w:r w:rsidR="00533C80" w:rsidRPr="00A2680F">
        <w:rPr>
          <w:rFonts w:ascii="Garamond" w:hAnsi="Garamond" w:cs="Times New Roman"/>
          <w:sz w:val="24"/>
          <w:szCs w:val="24"/>
        </w:rPr>
        <w:t>os cauti</w:t>
      </w:r>
      <w:r w:rsidRPr="00A2680F">
        <w:rPr>
          <w:rFonts w:ascii="Garamond" w:hAnsi="Garamond" w:cs="Times New Roman"/>
          <w:sz w:val="24"/>
          <w:szCs w:val="24"/>
        </w:rPr>
        <w:t>vos</w:t>
      </w:r>
      <w:r w:rsidR="00314B2A" w:rsidRPr="00A2680F">
        <w:rPr>
          <w:rFonts w:ascii="Garamond" w:hAnsi="Garamond" w:cs="Times New Roman"/>
          <w:sz w:val="24"/>
          <w:szCs w:val="24"/>
        </w:rPr>
        <w:t xml:space="preserve"> prefirieron </w:t>
      </w:r>
      <w:r w:rsidRPr="00A2680F">
        <w:rPr>
          <w:rFonts w:ascii="Garamond" w:hAnsi="Garamond" w:cs="Times New Roman"/>
          <w:sz w:val="24"/>
          <w:szCs w:val="24"/>
        </w:rPr>
        <w:t>evitar cualquier manifestación directa de insubordinación, dado que los castigos</w:t>
      </w:r>
      <w:r w:rsidR="002E72FE" w:rsidRPr="00A2680F">
        <w:rPr>
          <w:rFonts w:ascii="Garamond" w:hAnsi="Garamond" w:cs="Times New Roman"/>
          <w:sz w:val="24"/>
          <w:szCs w:val="24"/>
        </w:rPr>
        <w:t xml:space="preserve"> que recibirían</w:t>
      </w:r>
      <w:r w:rsidRPr="00A2680F">
        <w:rPr>
          <w:rFonts w:ascii="Garamond" w:hAnsi="Garamond" w:cs="Times New Roman"/>
          <w:sz w:val="24"/>
          <w:szCs w:val="24"/>
        </w:rPr>
        <w:t xml:space="preserve"> podían ser drásticos. Optaban por formas de resistencia que </w:t>
      </w:r>
      <w:r w:rsidR="004B2874" w:rsidRPr="00A2680F">
        <w:rPr>
          <w:rFonts w:ascii="Garamond" w:hAnsi="Garamond" w:cs="Times New Roman"/>
          <w:sz w:val="24"/>
          <w:szCs w:val="24"/>
        </w:rPr>
        <w:t>evadieran</w:t>
      </w:r>
      <w:r w:rsidRPr="00A2680F">
        <w:rPr>
          <w:rFonts w:ascii="Garamond" w:hAnsi="Garamond" w:cs="Times New Roman"/>
          <w:sz w:val="24"/>
          <w:szCs w:val="24"/>
        </w:rPr>
        <w:t xml:space="preserve"> las confrontaciones abiertas con las estructuras de la autoridad. En otras palabras, ocultaban o disfrazaban las resistencias</w:t>
      </w:r>
      <w:r w:rsidR="00FC54B1" w:rsidRPr="00A2680F">
        <w:rPr>
          <w:rStyle w:val="Refdenotaalpie"/>
          <w:rFonts w:ascii="Garamond" w:hAnsi="Garamond" w:cs="Times New Roman"/>
          <w:sz w:val="24"/>
          <w:szCs w:val="24"/>
        </w:rPr>
        <w:footnoteReference w:id="31"/>
      </w:r>
      <w:r w:rsidR="00FC11E9" w:rsidRPr="00A2680F">
        <w:rPr>
          <w:rFonts w:ascii="Garamond" w:hAnsi="Garamond" w:cs="Times New Roman"/>
          <w:sz w:val="24"/>
          <w:szCs w:val="24"/>
        </w:rPr>
        <w:t>.</w:t>
      </w:r>
      <w:r w:rsidRPr="00A2680F">
        <w:rPr>
          <w:rFonts w:ascii="Garamond" w:hAnsi="Garamond" w:cs="Times New Roman"/>
          <w:sz w:val="24"/>
          <w:szCs w:val="24"/>
        </w:rPr>
        <w:t xml:space="preserve"> C</w:t>
      </w:r>
      <w:r w:rsidR="00F326F4" w:rsidRPr="00A2680F">
        <w:rPr>
          <w:rFonts w:ascii="Garamond" w:hAnsi="Garamond" w:cs="Times New Roman"/>
          <w:sz w:val="24"/>
          <w:szCs w:val="24"/>
        </w:rPr>
        <w:t>omo la vigilancia de los señore</w:t>
      </w:r>
      <w:r w:rsidRPr="00A2680F">
        <w:rPr>
          <w:rFonts w:ascii="Garamond" w:hAnsi="Garamond" w:cs="Times New Roman"/>
          <w:sz w:val="24"/>
          <w:szCs w:val="24"/>
        </w:rPr>
        <w:t>s no era total, quedaba</w:t>
      </w:r>
      <w:r w:rsidR="0054658F" w:rsidRPr="00A2680F">
        <w:rPr>
          <w:rFonts w:ascii="Garamond" w:hAnsi="Garamond" w:cs="Times New Roman"/>
          <w:sz w:val="24"/>
          <w:szCs w:val="24"/>
        </w:rPr>
        <w:t>n grietas en las cuales los cauti</w:t>
      </w:r>
      <w:r w:rsidRPr="00A2680F">
        <w:rPr>
          <w:rFonts w:ascii="Garamond" w:hAnsi="Garamond" w:cs="Times New Roman"/>
          <w:sz w:val="24"/>
          <w:szCs w:val="24"/>
        </w:rPr>
        <w:t>vos podían forjar espacios de autonomía y decidir cuándo rebelarse directa o indirectamente contra la autoridad que los o</w:t>
      </w:r>
      <w:r w:rsidR="00330E51" w:rsidRPr="00A2680F">
        <w:rPr>
          <w:rFonts w:ascii="Garamond" w:hAnsi="Garamond" w:cs="Times New Roman"/>
          <w:sz w:val="24"/>
          <w:szCs w:val="24"/>
        </w:rPr>
        <w:t xml:space="preserve">primía. Si no podían </w:t>
      </w:r>
      <w:r w:rsidR="004B2874" w:rsidRPr="00A2680F">
        <w:rPr>
          <w:rFonts w:ascii="Garamond" w:hAnsi="Garamond" w:cs="Times New Roman"/>
          <w:sz w:val="24"/>
          <w:szCs w:val="24"/>
        </w:rPr>
        <w:t>declinar</w:t>
      </w:r>
      <w:r w:rsidRPr="00A2680F">
        <w:rPr>
          <w:rFonts w:ascii="Garamond" w:hAnsi="Garamond" w:cs="Times New Roman"/>
          <w:sz w:val="24"/>
          <w:szCs w:val="24"/>
        </w:rPr>
        <w:t xml:space="preserve"> </w:t>
      </w:r>
      <w:r w:rsidR="004B2874" w:rsidRPr="00A2680F">
        <w:rPr>
          <w:rFonts w:ascii="Garamond" w:hAnsi="Garamond" w:cs="Times New Roman"/>
          <w:sz w:val="24"/>
          <w:szCs w:val="24"/>
        </w:rPr>
        <w:t xml:space="preserve">a </w:t>
      </w:r>
      <w:r w:rsidRPr="00A2680F">
        <w:rPr>
          <w:rFonts w:ascii="Garamond" w:hAnsi="Garamond" w:cs="Times New Roman"/>
          <w:sz w:val="24"/>
          <w:szCs w:val="24"/>
        </w:rPr>
        <w:t>su condición por medio de la libertad –compra de la man</w:t>
      </w:r>
      <w:r w:rsidR="0054658F" w:rsidRPr="00A2680F">
        <w:rPr>
          <w:rFonts w:ascii="Garamond" w:hAnsi="Garamond" w:cs="Times New Roman"/>
          <w:sz w:val="24"/>
          <w:szCs w:val="24"/>
        </w:rPr>
        <w:t>umisión o la fuga</w:t>
      </w:r>
      <w:r w:rsidR="008E4AB9" w:rsidRPr="00A2680F">
        <w:rPr>
          <w:rFonts w:ascii="Garamond" w:hAnsi="Garamond" w:cs="Times New Roman"/>
          <w:sz w:val="24"/>
          <w:szCs w:val="24"/>
        </w:rPr>
        <w:t>-</w:t>
      </w:r>
      <w:r w:rsidRPr="00A2680F">
        <w:rPr>
          <w:rFonts w:ascii="Garamond" w:hAnsi="Garamond" w:cs="Times New Roman"/>
          <w:sz w:val="24"/>
          <w:szCs w:val="24"/>
        </w:rPr>
        <w:t xml:space="preserve"> escogían otros mecanismos para responder a la dominación. </w:t>
      </w:r>
      <w:r w:rsidR="00330E51" w:rsidRPr="00A2680F">
        <w:rPr>
          <w:rFonts w:ascii="Garamond" w:hAnsi="Garamond" w:cs="Times New Roman"/>
          <w:sz w:val="24"/>
          <w:szCs w:val="24"/>
        </w:rPr>
        <w:t>Ahora bien, ¿q</w:t>
      </w:r>
      <w:r w:rsidRPr="00A2680F">
        <w:rPr>
          <w:rFonts w:ascii="Garamond" w:hAnsi="Garamond" w:cs="Times New Roman"/>
          <w:sz w:val="24"/>
          <w:szCs w:val="24"/>
        </w:rPr>
        <w:t>ué tipos de resistencia</w:t>
      </w:r>
      <w:r w:rsidR="008E4AB9" w:rsidRPr="00A2680F">
        <w:rPr>
          <w:rFonts w:ascii="Garamond" w:hAnsi="Garamond" w:cs="Times New Roman"/>
          <w:sz w:val="24"/>
          <w:szCs w:val="24"/>
        </w:rPr>
        <w:t xml:space="preserve"> individual</w:t>
      </w:r>
      <w:r w:rsidRPr="00A2680F">
        <w:rPr>
          <w:rFonts w:ascii="Garamond" w:hAnsi="Garamond" w:cs="Times New Roman"/>
          <w:sz w:val="24"/>
          <w:szCs w:val="24"/>
        </w:rPr>
        <w:t xml:space="preserve"> lograron establecer esclavos como Juana María de la Cruz?</w:t>
      </w:r>
    </w:p>
    <w:p w14:paraId="70EA754A" w14:textId="77777777" w:rsidR="0039467F" w:rsidRPr="00A2680F" w:rsidRDefault="0039467F" w:rsidP="00A2680F">
      <w:pPr>
        <w:jc w:val="both"/>
        <w:rPr>
          <w:rFonts w:ascii="Garamond" w:hAnsi="Garamond" w:cs="Times New Roman"/>
          <w:sz w:val="24"/>
          <w:szCs w:val="24"/>
        </w:rPr>
      </w:pPr>
    </w:p>
    <w:p w14:paraId="69B7546A" w14:textId="7FA3B57D"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James Scott habla que los dominados se reúnen con sus semejantes en espacios sociales que les permiten alejars</w:t>
      </w:r>
      <w:r w:rsidR="00D93853" w:rsidRPr="00A2680F">
        <w:rPr>
          <w:rFonts w:ascii="Garamond" w:hAnsi="Garamond" w:cs="Times New Roman"/>
          <w:sz w:val="24"/>
          <w:szCs w:val="24"/>
        </w:rPr>
        <w:t>e del control</w:t>
      </w:r>
      <w:r w:rsidRPr="00A2680F">
        <w:rPr>
          <w:rFonts w:ascii="Garamond" w:hAnsi="Garamond" w:cs="Times New Roman"/>
          <w:sz w:val="24"/>
          <w:szCs w:val="24"/>
        </w:rPr>
        <w:t xml:space="preserve"> para refugiarse de las humillaciones de la dominación. Son lugares donde pueden hablar con mayor libertad, por lo tanto</w:t>
      </w:r>
      <w:r w:rsidR="00D93853" w:rsidRPr="00A2680F">
        <w:rPr>
          <w:rFonts w:ascii="Garamond" w:hAnsi="Garamond" w:cs="Times New Roman"/>
          <w:sz w:val="24"/>
          <w:szCs w:val="24"/>
        </w:rPr>
        <w:t>,</w:t>
      </w:r>
      <w:r w:rsidRPr="00A2680F">
        <w:rPr>
          <w:rFonts w:ascii="Garamond" w:hAnsi="Garamond" w:cs="Times New Roman"/>
          <w:sz w:val="24"/>
          <w:szCs w:val="24"/>
        </w:rPr>
        <w:t xml:space="preserve"> deben ser apartados y oscuros p</w:t>
      </w:r>
      <w:r w:rsidR="00D93853" w:rsidRPr="00A2680F">
        <w:rPr>
          <w:rFonts w:ascii="Garamond" w:hAnsi="Garamond" w:cs="Times New Roman"/>
          <w:sz w:val="24"/>
          <w:szCs w:val="24"/>
        </w:rPr>
        <w:t xml:space="preserve">ara hacer </w:t>
      </w:r>
      <w:r w:rsidR="00D93853" w:rsidRPr="00A2680F">
        <w:rPr>
          <w:rFonts w:ascii="Garamond" w:hAnsi="Garamond" w:cs="Times New Roman"/>
          <w:sz w:val="24"/>
          <w:szCs w:val="24"/>
        </w:rPr>
        <w:lastRenderedPageBreak/>
        <w:t>reuniones secretas, o</w:t>
      </w:r>
      <w:r w:rsidRPr="00A2680F">
        <w:rPr>
          <w:rFonts w:ascii="Garamond" w:hAnsi="Garamond" w:cs="Times New Roman"/>
          <w:sz w:val="24"/>
          <w:szCs w:val="24"/>
        </w:rPr>
        <w:t xml:space="preserve"> que permitan camuflarse como el mercado, la taberna y el carnaval</w:t>
      </w:r>
      <w:r w:rsidR="00FC54B1" w:rsidRPr="00A2680F">
        <w:rPr>
          <w:rStyle w:val="Refdenotaalpie"/>
          <w:rFonts w:ascii="Garamond" w:hAnsi="Garamond" w:cs="Times New Roman"/>
          <w:sz w:val="24"/>
          <w:szCs w:val="24"/>
        </w:rPr>
        <w:footnoteReference w:id="32"/>
      </w:r>
      <w:r w:rsidR="00FC11E9" w:rsidRPr="00A2680F">
        <w:rPr>
          <w:rFonts w:ascii="Garamond" w:hAnsi="Garamond" w:cs="Times New Roman"/>
          <w:sz w:val="24"/>
          <w:szCs w:val="24"/>
        </w:rPr>
        <w:t>.</w:t>
      </w:r>
      <w:r w:rsidRPr="00A2680F">
        <w:rPr>
          <w:rFonts w:ascii="Garamond" w:hAnsi="Garamond" w:cs="Times New Roman"/>
          <w:sz w:val="24"/>
          <w:szCs w:val="24"/>
        </w:rPr>
        <w:t xml:space="preserve"> Allí, pueden compartir las experiencias y frustraciones sin que lo</w:t>
      </w:r>
      <w:r w:rsidR="009959D4" w:rsidRPr="00A2680F">
        <w:rPr>
          <w:rFonts w:ascii="Garamond" w:hAnsi="Garamond" w:cs="Times New Roman"/>
          <w:sz w:val="24"/>
          <w:szCs w:val="24"/>
        </w:rPr>
        <w:t>s alcance el control</w:t>
      </w:r>
      <w:r w:rsidRPr="00A2680F">
        <w:rPr>
          <w:rFonts w:ascii="Garamond" w:hAnsi="Garamond" w:cs="Times New Roman"/>
          <w:sz w:val="24"/>
          <w:szCs w:val="24"/>
        </w:rPr>
        <w:t>, lo que implica socialización y solidaridad entre los subordinados</w:t>
      </w:r>
      <w:r w:rsidR="00FC11E9" w:rsidRPr="00A2680F">
        <w:rPr>
          <w:rFonts w:ascii="Garamond" w:hAnsi="Garamond" w:cs="Times New Roman"/>
          <w:sz w:val="24"/>
          <w:szCs w:val="24"/>
        </w:rPr>
        <w:t>.</w:t>
      </w:r>
      <w:r w:rsidRPr="00A2680F">
        <w:rPr>
          <w:rFonts w:ascii="Garamond" w:hAnsi="Garamond" w:cs="Times New Roman"/>
          <w:sz w:val="24"/>
          <w:szCs w:val="24"/>
        </w:rPr>
        <w:t xml:space="preserve"> Son espacios sociales en donde los dominados articulan la agresión y la hostilidad que no pueden expresar públicamente y crean discursos de dignidad, justicia y negación a la dominación</w:t>
      </w:r>
      <w:r w:rsidR="00FC54B1" w:rsidRPr="00A2680F">
        <w:rPr>
          <w:rStyle w:val="Refdenotaalpie"/>
          <w:rFonts w:ascii="Garamond" w:hAnsi="Garamond" w:cs="Times New Roman"/>
          <w:sz w:val="24"/>
          <w:szCs w:val="24"/>
        </w:rPr>
        <w:footnoteReference w:id="33"/>
      </w:r>
      <w:r w:rsidR="00FC11E9" w:rsidRPr="00A2680F">
        <w:rPr>
          <w:rFonts w:ascii="Garamond" w:hAnsi="Garamond" w:cs="Times New Roman"/>
          <w:sz w:val="24"/>
          <w:szCs w:val="24"/>
        </w:rPr>
        <w:t>.</w:t>
      </w:r>
      <w:r w:rsidRPr="00A2680F">
        <w:rPr>
          <w:rFonts w:ascii="Garamond" w:hAnsi="Garamond" w:cs="Times New Roman"/>
          <w:sz w:val="24"/>
          <w:szCs w:val="24"/>
        </w:rPr>
        <w:t xml:space="preserve"> </w:t>
      </w:r>
    </w:p>
    <w:p w14:paraId="19A31519" w14:textId="77777777" w:rsidR="00316FFC" w:rsidRPr="00A2680F" w:rsidRDefault="00316FFC" w:rsidP="00A2680F">
      <w:pPr>
        <w:jc w:val="both"/>
        <w:rPr>
          <w:rFonts w:ascii="Garamond" w:hAnsi="Garamond" w:cs="Times New Roman"/>
          <w:sz w:val="24"/>
          <w:szCs w:val="24"/>
        </w:rPr>
      </w:pPr>
    </w:p>
    <w:p w14:paraId="392E5387" w14:textId="240B2638"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En la esclavitud hay que diferenciar entre los esclavos dedicados a</w:t>
      </w:r>
      <w:r w:rsidR="00511FB6" w:rsidRPr="00A2680F">
        <w:rPr>
          <w:rFonts w:ascii="Garamond" w:hAnsi="Garamond" w:cs="Times New Roman"/>
          <w:sz w:val="24"/>
          <w:szCs w:val="24"/>
        </w:rPr>
        <w:t xml:space="preserve"> la</w:t>
      </w:r>
      <w:r w:rsidR="004B2874" w:rsidRPr="00A2680F">
        <w:rPr>
          <w:rFonts w:ascii="Garamond" w:hAnsi="Garamond" w:cs="Times New Roman"/>
          <w:sz w:val="24"/>
          <w:szCs w:val="24"/>
        </w:rPr>
        <w:t xml:space="preserve">s labores domésticas y los </w:t>
      </w:r>
      <w:r w:rsidR="008A1FBC" w:rsidRPr="00A2680F">
        <w:rPr>
          <w:rFonts w:ascii="Garamond" w:hAnsi="Garamond" w:cs="Times New Roman"/>
          <w:sz w:val="24"/>
          <w:szCs w:val="24"/>
        </w:rPr>
        <w:t>que laboraban en</w:t>
      </w:r>
      <w:r w:rsidRPr="00A2680F">
        <w:rPr>
          <w:rFonts w:ascii="Garamond" w:hAnsi="Garamond" w:cs="Times New Roman"/>
          <w:sz w:val="24"/>
          <w:szCs w:val="24"/>
        </w:rPr>
        <w:t xml:space="preserve"> la agricultura, la minería, el comercio y la producción artesanal, puesto que esos espacios implicaban diferentes grados de autonomía. Otro elemento a considerar es el</w:t>
      </w:r>
      <w:r w:rsidR="00511FB6" w:rsidRPr="00A2680F">
        <w:rPr>
          <w:rFonts w:ascii="Garamond" w:hAnsi="Garamond" w:cs="Times New Roman"/>
          <w:sz w:val="24"/>
          <w:szCs w:val="24"/>
        </w:rPr>
        <w:t xml:space="preserve"> nivel de riqueza del amo</w:t>
      </w:r>
      <w:r w:rsidRPr="00A2680F">
        <w:rPr>
          <w:rFonts w:ascii="Garamond" w:hAnsi="Garamond" w:cs="Times New Roman"/>
          <w:sz w:val="24"/>
          <w:szCs w:val="24"/>
        </w:rPr>
        <w:t xml:space="preserve"> que le permitía adquirir determinado número de piezas de esclavos. Sumar estos factores en diferentes circunstancias puede dar como resultado</w:t>
      </w:r>
      <w:r w:rsidR="00FC54B1" w:rsidRPr="00A2680F">
        <w:rPr>
          <w:rFonts w:ascii="Garamond" w:hAnsi="Garamond" w:cs="Times New Roman"/>
          <w:sz w:val="24"/>
          <w:szCs w:val="24"/>
        </w:rPr>
        <w:t>,</w:t>
      </w:r>
      <w:r w:rsidR="00316FFC" w:rsidRPr="00A2680F">
        <w:rPr>
          <w:rFonts w:ascii="Garamond" w:hAnsi="Garamond" w:cs="Times New Roman"/>
          <w:sz w:val="24"/>
          <w:szCs w:val="24"/>
        </w:rPr>
        <w:t xml:space="preserve"> </w:t>
      </w:r>
      <w:r w:rsidR="004B2874" w:rsidRPr="00A2680F">
        <w:rPr>
          <w:rFonts w:ascii="Garamond" w:hAnsi="Garamond" w:cs="Times New Roman"/>
          <w:sz w:val="24"/>
          <w:szCs w:val="24"/>
        </w:rPr>
        <w:t>esclavizad</w:t>
      </w:r>
      <w:r w:rsidRPr="00A2680F">
        <w:rPr>
          <w:rFonts w:ascii="Garamond" w:hAnsi="Garamond" w:cs="Times New Roman"/>
          <w:sz w:val="24"/>
          <w:szCs w:val="24"/>
        </w:rPr>
        <w:t>os que se podían deslizar en los límites del discurso de dominación.</w:t>
      </w:r>
      <w:r w:rsidR="00511FB6" w:rsidRPr="00A2680F">
        <w:rPr>
          <w:rFonts w:ascii="Garamond" w:hAnsi="Garamond" w:cs="Times New Roman"/>
          <w:sz w:val="24"/>
          <w:szCs w:val="24"/>
        </w:rPr>
        <w:t xml:space="preserve"> </w:t>
      </w:r>
      <w:r w:rsidRPr="00A2680F">
        <w:rPr>
          <w:rFonts w:ascii="Garamond" w:hAnsi="Garamond" w:cs="Times New Roman"/>
          <w:sz w:val="24"/>
          <w:szCs w:val="24"/>
        </w:rPr>
        <w:t>P</w:t>
      </w:r>
      <w:r w:rsidR="00511FB6" w:rsidRPr="00A2680F">
        <w:rPr>
          <w:rFonts w:ascii="Garamond" w:hAnsi="Garamond" w:cs="Times New Roman"/>
          <w:sz w:val="24"/>
          <w:szCs w:val="24"/>
        </w:rPr>
        <w:t>ara el caso de</w:t>
      </w:r>
      <w:r w:rsidRPr="00A2680F">
        <w:rPr>
          <w:rFonts w:ascii="Garamond" w:hAnsi="Garamond" w:cs="Times New Roman"/>
          <w:sz w:val="24"/>
          <w:szCs w:val="24"/>
        </w:rPr>
        <w:t xml:space="preserve"> Juana María, el espacio vital donde se desenvolvía diariamente era la</w:t>
      </w:r>
      <w:r w:rsidR="00511FB6" w:rsidRPr="00A2680F">
        <w:rPr>
          <w:rFonts w:ascii="Garamond" w:hAnsi="Garamond" w:cs="Times New Roman"/>
          <w:sz w:val="24"/>
          <w:szCs w:val="24"/>
        </w:rPr>
        <w:t xml:space="preserve"> casa de su dueñ</w:t>
      </w:r>
      <w:r w:rsidRPr="00A2680F">
        <w:rPr>
          <w:rFonts w:ascii="Garamond" w:hAnsi="Garamond" w:cs="Times New Roman"/>
          <w:sz w:val="24"/>
          <w:szCs w:val="24"/>
        </w:rPr>
        <w:t>o</w:t>
      </w:r>
      <w:r w:rsidR="004B2874" w:rsidRPr="00A2680F">
        <w:rPr>
          <w:rFonts w:ascii="Garamond" w:hAnsi="Garamond" w:cs="Times New Roman"/>
          <w:sz w:val="24"/>
          <w:szCs w:val="24"/>
        </w:rPr>
        <w:t>,</w:t>
      </w:r>
      <w:r w:rsidRPr="00A2680F">
        <w:rPr>
          <w:rFonts w:ascii="Garamond" w:hAnsi="Garamond" w:cs="Times New Roman"/>
          <w:sz w:val="24"/>
          <w:szCs w:val="24"/>
        </w:rPr>
        <w:t xml:space="preserve"> localizada en la propiedad rural del sitio de Majavita, donde se dedicaba a las tareas domésticas</w:t>
      </w:r>
      <w:r w:rsidRPr="00A2680F">
        <w:rPr>
          <w:rStyle w:val="Refdenotaalpie"/>
          <w:rFonts w:ascii="Garamond" w:hAnsi="Garamond" w:cs="Times New Roman"/>
          <w:sz w:val="24"/>
          <w:szCs w:val="24"/>
        </w:rPr>
        <w:footnoteReference w:id="34"/>
      </w:r>
      <w:r w:rsidR="00FC54B1" w:rsidRPr="00A2680F">
        <w:rPr>
          <w:rFonts w:ascii="Garamond" w:hAnsi="Garamond" w:cs="Times New Roman"/>
          <w:sz w:val="24"/>
          <w:szCs w:val="24"/>
        </w:rPr>
        <w:t>.</w:t>
      </w:r>
      <w:r w:rsidRPr="00A2680F">
        <w:rPr>
          <w:rFonts w:ascii="Garamond" w:hAnsi="Garamond" w:cs="Times New Roman"/>
          <w:sz w:val="24"/>
          <w:szCs w:val="24"/>
        </w:rPr>
        <w:t xml:space="preserve"> El expediente no menciona la existencia de otros esclavos en la casa de campo con los que la mulata pudiera hablar de las humillaci</w:t>
      </w:r>
      <w:r w:rsidR="004B2874" w:rsidRPr="00A2680F">
        <w:rPr>
          <w:rFonts w:ascii="Garamond" w:hAnsi="Garamond" w:cs="Times New Roman"/>
          <w:sz w:val="24"/>
          <w:szCs w:val="24"/>
        </w:rPr>
        <w:t>ones y de los maltratos que recibía</w:t>
      </w:r>
      <w:r w:rsidRPr="00A2680F">
        <w:rPr>
          <w:rFonts w:ascii="Garamond" w:hAnsi="Garamond" w:cs="Times New Roman"/>
          <w:sz w:val="24"/>
          <w:szCs w:val="24"/>
        </w:rPr>
        <w:t xml:space="preserve">, lo que no quiere decir que estuviera aislada de otros cautivos. En alguna ocasión Juana María debió tener relaciones </w:t>
      </w:r>
      <w:r w:rsidR="009C40EC" w:rsidRPr="00A2680F">
        <w:rPr>
          <w:rFonts w:ascii="Garamond" w:hAnsi="Garamond" w:cs="Times New Roman"/>
          <w:sz w:val="24"/>
          <w:szCs w:val="24"/>
        </w:rPr>
        <w:t xml:space="preserve">de amistad, </w:t>
      </w:r>
      <w:r w:rsidRPr="00A2680F">
        <w:rPr>
          <w:rFonts w:ascii="Garamond" w:hAnsi="Garamond" w:cs="Times New Roman"/>
          <w:sz w:val="24"/>
          <w:szCs w:val="24"/>
        </w:rPr>
        <w:t>amorosas y de compadr</w:t>
      </w:r>
      <w:r w:rsidR="004B2874" w:rsidRPr="00A2680F">
        <w:rPr>
          <w:rFonts w:ascii="Garamond" w:hAnsi="Garamond" w:cs="Times New Roman"/>
          <w:sz w:val="24"/>
          <w:szCs w:val="24"/>
        </w:rPr>
        <w:t>azgo con gente</w:t>
      </w:r>
      <w:r w:rsidR="009C40EC" w:rsidRPr="00A2680F">
        <w:rPr>
          <w:rFonts w:ascii="Garamond" w:hAnsi="Garamond" w:cs="Times New Roman"/>
          <w:sz w:val="24"/>
          <w:szCs w:val="24"/>
        </w:rPr>
        <w:t xml:space="preserve"> de su condición</w:t>
      </w:r>
      <w:r w:rsidRPr="00A2680F">
        <w:rPr>
          <w:rStyle w:val="Refdenotaalpie"/>
          <w:rFonts w:ascii="Garamond" w:hAnsi="Garamond" w:cs="Times New Roman"/>
          <w:sz w:val="24"/>
          <w:szCs w:val="24"/>
        </w:rPr>
        <w:footnoteReference w:id="35"/>
      </w:r>
      <w:r w:rsidR="00FC54B1" w:rsidRPr="00A2680F">
        <w:rPr>
          <w:rFonts w:ascii="Garamond" w:hAnsi="Garamond" w:cs="Times New Roman"/>
          <w:sz w:val="24"/>
          <w:szCs w:val="24"/>
        </w:rPr>
        <w:t>,</w:t>
      </w:r>
      <w:r w:rsidR="00916040" w:rsidRPr="00A2680F">
        <w:rPr>
          <w:rFonts w:ascii="Garamond" w:hAnsi="Garamond" w:cs="Times New Roman"/>
          <w:sz w:val="24"/>
          <w:szCs w:val="24"/>
        </w:rPr>
        <w:t xml:space="preserve"> como, por ejemplo,</w:t>
      </w:r>
      <w:r w:rsidRPr="00A2680F">
        <w:rPr>
          <w:rFonts w:ascii="Garamond" w:hAnsi="Garamond" w:cs="Times New Roman"/>
          <w:sz w:val="24"/>
          <w:szCs w:val="24"/>
        </w:rPr>
        <w:t xml:space="preserve"> en las salidas hacia la villa para asistir a misa y al mercado</w:t>
      </w:r>
      <w:r w:rsidRPr="00A2680F">
        <w:rPr>
          <w:rStyle w:val="Refdenotaalpie"/>
          <w:rFonts w:ascii="Garamond" w:hAnsi="Garamond" w:cs="Times New Roman"/>
          <w:sz w:val="24"/>
          <w:szCs w:val="24"/>
        </w:rPr>
        <w:footnoteReference w:id="36"/>
      </w:r>
      <w:r w:rsidRPr="00A2680F">
        <w:rPr>
          <w:rFonts w:ascii="Garamond" w:hAnsi="Garamond" w:cs="Times New Roman"/>
          <w:sz w:val="24"/>
          <w:szCs w:val="24"/>
        </w:rPr>
        <w:t xml:space="preserve"> seguramente tuvo trato co</w:t>
      </w:r>
      <w:r w:rsidR="00570A19" w:rsidRPr="00A2680F">
        <w:rPr>
          <w:rFonts w:ascii="Garamond" w:hAnsi="Garamond" w:cs="Times New Roman"/>
          <w:sz w:val="24"/>
          <w:szCs w:val="24"/>
        </w:rPr>
        <w:t>n otros escla</w:t>
      </w:r>
      <w:r w:rsidRPr="00A2680F">
        <w:rPr>
          <w:rFonts w:ascii="Garamond" w:hAnsi="Garamond" w:cs="Times New Roman"/>
          <w:sz w:val="24"/>
          <w:szCs w:val="24"/>
        </w:rPr>
        <w:t>v</w:t>
      </w:r>
      <w:r w:rsidR="00570A19" w:rsidRPr="00A2680F">
        <w:rPr>
          <w:rFonts w:ascii="Garamond" w:hAnsi="Garamond" w:cs="Times New Roman"/>
          <w:sz w:val="24"/>
          <w:szCs w:val="24"/>
        </w:rPr>
        <w:t>izad</w:t>
      </w:r>
      <w:r w:rsidRPr="00A2680F">
        <w:rPr>
          <w:rFonts w:ascii="Garamond" w:hAnsi="Garamond" w:cs="Times New Roman"/>
          <w:sz w:val="24"/>
          <w:szCs w:val="24"/>
        </w:rPr>
        <w:t>os, hasta en los caminos y en la quebrada donde lavaba</w:t>
      </w:r>
      <w:r w:rsidR="00AC5480" w:rsidRPr="00A2680F">
        <w:rPr>
          <w:rFonts w:ascii="Garamond" w:hAnsi="Garamond" w:cs="Times New Roman"/>
          <w:sz w:val="24"/>
          <w:szCs w:val="24"/>
        </w:rPr>
        <w:t xml:space="preserve"> ropa</w:t>
      </w:r>
      <w:r w:rsidRPr="00A2680F">
        <w:rPr>
          <w:rStyle w:val="Refdenotaalpie"/>
          <w:rFonts w:ascii="Garamond" w:hAnsi="Garamond" w:cs="Times New Roman"/>
          <w:sz w:val="24"/>
          <w:szCs w:val="24"/>
        </w:rPr>
        <w:footnoteReference w:id="37"/>
      </w:r>
      <w:r w:rsidRPr="00A2680F">
        <w:rPr>
          <w:rFonts w:ascii="Garamond" w:hAnsi="Garamond" w:cs="Times New Roman"/>
          <w:sz w:val="24"/>
          <w:szCs w:val="24"/>
        </w:rPr>
        <w:t xml:space="preserve"> </w:t>
      </w:r>
      <w:r w:rsidR="009C40EC" w:rsidRPr="00A2680F">
        <w:rPr>
          <w:rFonts w:ascii="Garamond" w:hAnsi="Garamond" w:cs="Times New Roman"/>
          <w:sz w:val="24"/>
          <w:szCs w:val="24"/>
        </w:rPr>
        <w:t>debió encontrarse</w:t>
      </w:r>
      <w:r w:rsidR="00570A19" w:rsidRPr="00A2680F">
        <w:rPr>
          <w:rFonts w:ascii="Garamond" w:hAnsi="Garamond" w:cs="Times New Roman"/>
          <w:sz w:val="24"/>
          <w:szCs w:val="24"/>
        </w:rPr>
        <w:t xml:space="preserve"> con cauti</w:t>
      </w:r>
      <w:r w:rsidR="009C40EC" w:rsidRPr="00A2680F">
        <w:rPr>
          <w:rFonts w:ascii="Garamond" w:hAnsi="Garamond" w:cs="Times New Roman"/>
          <w:sz w:val="24"/>
          <w:szCs w:val="24"/>
        </w:rPr>
        <w:t>v</w:t>
      </w:r>
      <w:r w:rsidRPr="00A2680F">
        <w:rPr>
          <w:rFonts w:ascii="Garamond" w:hAnsi="Garamond" w:cs="Times New Roman"/>
          <w:sz w:val="24"/>
          <w:szCs w:val="24"/>
        </w:rPr>
        <w:t xml:space="preserve">as que servían </w:t>
      </w:r>
      <w:r w:rsidR="009C40EC" w:rsidRPr="00A2680F">
        <w:rPr>
          <w:rFonts w:ascii="Garamond" w:hAnsi="Garamond" w:cs="Times New Roman"/>
          <w:sz w:val="24"/>
          <w:szCs w:val="24"/>
        </w:rPr>
        <w:t xml:space="preserve">en las casas de otros </w:t>
      </w:r>
      <w:r w:rsidR="00B46D76" w:rsidRPr="00A2680F">
        <w:rPr>
          <w:rFonts w:ascii="Garamond" w:hAnsi="Garamond" w:cs="Times New Roman"/>
          <w:sz w:val="24"/>
          <w:szCs w:val="24"/>
        </w:rPr>
        <w:t>amo</w:t>
      </w:r>
      <w:r w:rsidRPr="00A2680F">
        <w:rPr>
          <w:rFonts w:ascii="Garamond" w:hAnsi="Garamond" w:cs="Times New Roman"/>
          <w:sz w:val="24"/>
          <w:szCs w:val="24"/>
        </w:rPr>
        <w:t>s. Esos espacios fuera del a</w:t>
      </w:r>
      <w:r w:rsidR="00570A19" w:rsidRPr="00A2680F">
        <w:rPr>
          <w:rFonts w:ascii="Garamond" w:hAnsi="Garamond" w:cs="Times New Roman"/>
          <w:sz w:val="24"/>
          <w:szCs w:val="24"/>
        </w:rPr>
        <w:t>lcance del ojo observador del dueñ</w:t>
      </w:r>
      <w:r w:rsidRPr="00A2680F">
        <w:rPr>
          <w:rFonts w:ascii="Garamond" w:hAnsi="Garamond" w:cs="Times New Roman"/>
          <w:sz w:val="24"/>
          <w:szCs w:val="24"/>
        </w:rPr>
        <w:t xml:space="preserve">o eran aprovechados por la esclava para descargar sentimientos de dolor y cólera en </w:t>
      </w:r>
      <w:r w:rsidR="00570A19" w:rsidRPr="00A2680F">
        <w:rPr>
          <w:rFonts w:ascii="Garamond" w:hAnsi="Garamond" w:cs="Times New Roman"/>
          <w:sz w:val="24"/>
          <w:szCs w:val="24"/>
        </w:rPr>
        <w:t xml:space="preserve">algún pariente, </w:t>
      </w:r>
      <w:r w:rsidRPr="00A2680F">
        <w:rPr>
          <w:rFonts w:ascii="Garamond" w:hAnsi="Garamond" w:cs="Times New Roman"/>
          <w:sz w:val="24"/>
          <w:szCs w:val="24"/>
        </w:rPr>
        <w:t xml:space="preserve">el amante, </w:t>
      </w:r>
      <w:r w:rsidR="00570A19" w:rsidRPr="00A2680F">
        <w:rPr>
          <w:rFonts w:ascii="Garamond" w:hAnsi="Garamond" w:cs="Times New Roman"/>
          <w:sz w:val="24"/>
          <w:szCs w:val="24"/>
        </w:rPr>
        <w:t xml:space="preserve">en </w:t>
      </w:r>
      <w:r w:rsidRPr="00A2680F">
        <w:rPr>
          <w:rFonts w:ascii="Garamond" w:hAnsi="Garamond" w:cs="Times New Roman"/>
          <w:sz w:val="24"/>
          <w:szCs w:val="24"/>
        </w:rPr>
        <w:t>los compadres,</w:t>
      </w:r>
      <w:r w:rsidR="00570A19" w:rsidRPr="00A2680F">
        <w:rPr>
          <w:rFonts w:ascii="Garamond" w:hAnsi="Garamond" w:cs="Times New Roman"/>
          <w:sz w:val="24"/>
          <w:szCs w:val="24"/>
        </w:rPr>
        <w:t xml:space="preserve"> en las comadres </w:t>
      </w:r>
      <w:r w:rsidR="00BB1EFD" w:rsidRPr="00A2680F">
        <w:rPr>
          <w:rFonts w:ascii="Garamond" w:hAnsi="Garamond" w:cs="Times New Roman"/>
          <w:sz w:val="24"/>
          <w:szCs w:val="24"/>
        </w:rPr>
        <w:t>o</w:t>
      </w:r>
      <w:r w:rsidR="00570A19" w:rsidRPr="00A2680F">
        <w:rPr>
          <w:rFonts w:ascii="Garamond" w:hAnsi="Garamond" w:cs="Times New Roman"/>
          <w:sz w:val="24"/>
          <w:szCs w:val="24"/>
        </w:rPr>
        <w:t xml:space="preserve"> en</w:t>
      </w:r>
      <w:r w:rsidRPr="00A2680F">
        <w:rPr>
          <w:rFonts w:ascii="Garamond" w:hAnsi="Garamond" w:cs="Times New Roman"/>
          <w:sz w:val="24"/>
          <w:szCs w:val="24"/>
        </w:rPr>
        <w:t xml:space="preserve"> los amigos. Aquí se estrechaban los lazos de </w:t>
      </w:r>
      <w:r w:rsidR="004B2874" w:rsidRPr="00A2680F">
        <w:rPr>
          <w:rFonts w:ascii="Garamond" w:hAnsi="Garamond" w:cs="Times New Roman"/>
          <w:sz w:val="24"/>
          <w:szCs w:val="24"/>
        </w:rPr>
        <w:t>solidaridad entre quienes</w:t>
      </w:r>
      <w:r w:rsidRPr="00A2680F">
        <w:rPr>
          <w:rFonts w:ascii="Garamond" w:hAnsi="Garamond" w:cs="Times New Roman"/>
          <w:sz w:val="24"/>
          <w:szCs w:val="24"/>
        </w:rPr>
        <w:t xml:space="preserve"> compartían un ambiente cargado de tensión, construyéndose la resistencia o el discurso oculto. </w:t>
      </w:r>
    </w:p>
    <w:p w14:paraId="2DF39FF0" w14:textId="77777777" w:rsidR="00316FFC" w:rsidRPr="00A2680F" w:rsidRDefault="00316FFC" w:rsidP="00A2680F">
      <w:pPr>
        <w:tabs>
          <w:tab w:val="left" w:pos="6394"/>
        </w:tabs>
        <w:jc w:val="both"/>
        <w:rPr>
          <w:rFonts w:ascii="Garamond" w:hAnsi="Garamond" w:cs="Times New Roman"/>
          <w:sz w:val="24"/>
          <w:szCs w:val="24"/>
        </w:rPr>
      </w:pPr>
    </w:p>
    <w:p w14:paraId="414746E6" w14:textId="2549BCFB" w:rsidR="00454BD6"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t xml:space="preserve">Con paciencia los esclavos esperaban el momento de resarcirse, aunque la venganza no fuera directamente contra la integridad física del amo, sino contra los elementos en que sustentaba su </w:t>
      </w:r>
      <w:r w:rsidRPr="00A2680F">
        <w:rPr>
          <w:rFonts w:ascii="Garamond" w:hAnsi="Garamond" w:cs="Times New Roman"/>
          <w:sz w:val="24"/>
          <w:szCs w:val="24"/>
        </w:rPr>
        <w:lastRenderedPageBreak/>
        <w:t>dominio, riqueza y prestigio</w:t>
      </w:r>
      <w:r w:rsidR="002D59E5" w:rsidRPr="00A2680F">
        <w:rPr>
          <w:rStyle w:val="Refdenotaalpie"/>
          <w:rFonts w:ascii="Garamond" w:hAnsi="Garamond" w:cs="Times New Roman"/>
          <w:sz w:val="24"/>
          <w:szCs w:val="24"/>
        </w:rPr>
        <w:footnoteReference w:id="38"/>
      </w:r>
      <w:r w:rsidRPr="00A2680F">
        <w:rPr>
          <w:rFonts w:ascii="Garamond" w:hAnsi="Garamond" w:cs="Times New Roman"/>
          <w:sz w:val="24"/>
          <w:szCs w:val="24"/>
        </w:rPr>
        <w:t>. Como no era frecuente agredir</w:t>
      </w:r>
      <w:r w:rsidR="006C007E" w:rsidRPr="00A2680F">
        <w:rPr>
          <w:rFonts w:ascii="Garamond" w:hAnsi="Garamond" w:cs="Times New Roman"/>
          <w:sz w:val="24"/>
          <w:szCs w:val="24"/>
        </w:rPr>
        <w:t xml:space="preserve"> físicamente al propietario, los cauti</w:t>
      </w:r>
      <w:r w:rsidRPr="00A2680F">
        <w:rPr>
          <w:rFonts w:ascii="Garamond" w:hAnsi="Garamond" w:cs="Times New Roman"/>
          <w:sz w:val="24"/>
          <w:szCs w:val="24"/>
        </w:rPr>
        <w:t>vos optaban estratégicamente por alterar el orden de la dominación con pequeños detalles como trabajar lentamente, dañar las herramientas de labor, realizar mal las cosas, hacers</w:t>
      </w:r>
      <w:r w:rsidR="009930CD" w:rsidRPr="00A2680F">
        <w:rPr>
          <w:rFonts w:ascii="Garamond" w:hAnsi="Garamond" w:cs="Times New Roman"/>
          <w:sz w:val="24"/>
          <w:szCs w:val="24"/>
        </w:rPr>
        <w:t>e pasar por enfermos o mantener</w:t>
      </w:r>
      <w:r w:rsidRPr="00A2680F">
        <w:rPr>
          <w:rFonts w:ascii="Garamond" w:hAnsi="Garamond" w:cs="Times New Roman"/>
          <w:sz w:val="24"/>
          <w:szCs w:val="24"/>
        </w:rPr>
        <w:t xml:space="preserve"> ritos africanos enmascarados en la religión cristiana</w:t>
      </w:r>
      <w:r w:rsidR="002D59E5" w:rsidRPr="00A2680F">
        <w:rPr>
          <w:rStyle w:val="Refdenotaalpie"/>
          <w:rFonts w:ascii="Garamond" w:hAnsi="Garamond" w:cs="Times New Roman"/>
          <w:sz w:val="24"/>
          <w:szCs w:val="24"/>
        </w:rPr>
        <w:footnoteReference w:id="39"/>
      </w:r>
      <w:r w:rsidR="00FC11E9" w:rsidRPr="00A2680F">
        <w:rPr>
          <w:rFonts w:ascii="Garamond" w:hAnsi="Garamond" w:cs="Times New Roman"/>
          <w:sz w:val="24"/>
          <w:szCs w:val="24"/>
        </w:rPr>
        <w:t>.</w:t>
      </w:r>
    </w:p>
    <w:p w14:paraId="4BABAB87" w14:textId="77777777" w:rsidR="00316FFC" w:rsidRPr="00A2680F" w:rsidRDefault="00316FFC" w:rsidP="00A2680F">
      <w:pPr>
        <w:tabs>
          <w:tab w:val="left" w:pos="6394"/>
        </w:tabs>
        <w:jc w:val="both"/>
        <w:rPr>
          <w:rFonts w:ascii="Garamond" w:hAnsi="Garamond" w:cs="Times New Roman"/>
          <w:sz w:val="24"/>
          <w:szCs w:val="24"/>
        </w:rPr>
      </w:pPr>
    </w:p>
    <w:p w14:paraId="6677ABC3" w14:textId="0F7299C9" w:rsidR="00454BD6"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t>Los mecanismos de reacción que se escapaban a la dominación por los disfraces en que se ocultaban constituían el desarrollo de códigos lingüísticos, gestos, señales y métodos para sabotear la subordinación</w:t>
      </w:r>
      <w:r w:rsidR="002D59E5" w:rsidRPr="00A2680F">
        <w:rPr>
          <w:rStyle w:val="Refdenotaalpie"/>
          <w:rFonts w:ascii="Garamond" w:hAnsi="Garamond" w:cs="Times New Roman"/>
          <w:sz w:val="24"/>
          <w:szCs w:val="24"/>
        </w:rPr>
        <w:footnoteReference w:id="40"/>
      </w:r>
      <w:r w:rsidR="009930CD" w:rsidRPr="00A2680F">
        <w:rPr>
          <w:rFonts w:ascii="Garamond" w:hAnsi="Garamond" w:cs="Times New Roman"/>
          <w:sz w:val="24"/>
          <w:szCs w:val="24"/>
        </w:rPr>
        <w:t>.</w:t>
      </w:r>
      <w:r w:rsidRPr="00A2680F">
        <w:rPr>
          <w:rFonts w:ascii="Garamond" w:hAnsi="Garamond" w:cs="Times New Roman"/>
          <w:sz w:val="24"/>
          <w:szCs w:val="24"/>
        </w:rPr>
        <w:t xml:space="preserve"> Esta era una resistencia en cl</w:t>
      </w:r>
      <w:r w:rsidR="006E73B9" w:rsidRPr="00A2680F">
        <w:rPr>
          <w:rFonts w:ascii="Garamond" w:hAnsi="Garamond" w:cs="Times New Roman"/>
          <w:sz w:val="24"/>
          <w:szCs w:val="24"/>
        </w:rPr>
        <w:t>ave entendida por los cautiv</w:t>
      </w:r>
      <w:r w:rsidRPr="00A2680F">
        <w:rPr>
          <w:rFonts w:ascii="Garamond" w:hAnsi="Garamond" w:cs="Times New Roman"/>
          <w:sz w:val="24"/>
          <w:szCs w:val="24"/>
        </w:rPr>
        <w:t>os</w:t>
      </w:r>
      <w:r w:rsidR="006E73B9" w:rsidRPr="00A2680F">
        <w:rPr>
          <w:rFonts w:ascii="Garamond" w:hAnsi="Garamond" w:cs="Times New Roman"/>
          <w:sz w:val="24"/>
          <w:szCs w:val="24"/>
        </w:rPr>
        <w:t>,</w:t>
      </w:r>
      <w:r w:rsidRPr="00A2680F">
        <w:rPr>
          <w:rFonts w:ascii="Garamond" w:hAnsi="Garamond" w:cs="Times New Roman"/>
          <w:sz w:val="24"/>
          <w:szCs w:val="24"/>
        </w:rPr>
        <w:t xml:space="preserve"> lo que la hacía casi impenetrable para los extraños. En pocas ocasiones los sectores dominantes describieron aquellos dispositivos de resistencia, y sólo cuando su autoridad se veía amenazada fue posible su registro</w:t>
      </w:r>
      <w:r w:rsidR="00380C3D" w:rsidRPr="00A2680F">
        <w:rPr>
          <w:rFonts w:ascii="Garamond" w:hAnsi="Garamond" w:cs="Times New Roman"/>
          <w:sz w:val="24"/>
          <w:szCs w:val="24"/>
        </w:rPr>
        <w:t xml:space="preserve"> para la posteridad. </w:t>
      </w:r>
      <w:r w:rsidRPr="00A2680F">
        <w:rPr>
          <w:rFonts w:ascii="Garamond" w:hAnsi="Garamond" w:cs="Times New Roman"/>
          <w:sz w:val="24"/>
          <w:szCs w:val="24"/>
        </w:rPr>
        <w:t>Juana María ponía en juego un conjunto de estrategias como válvulas de escape a la esclavitud sin que su resistencia implicara una afrent</w:t>
      </w:r>
      <w:r w:rsidR="006E73B9" w:rsidRPr="00A2680F">
        <w:rPr>
          <w:rFonts w:ascii="Garamond" w:hAnsi="Garamond" w:cs="Times New Roman"/>
          <w:sz w:val="24"/>
          <w:szCs w:val="24"/>
        </w:rPr>
        <w:t>a directa al dominio de sus dueños</w:t>
      </w:r>
      <w:r w:rsidRPr="00A2680F">
        <w:rPr>
          <w:rFonts w:ascii="Garamond" w:hAnsi="Garamond" w:cs="Times New Roman"/>
          <w:sz w:val="24"/>
          <w:szCs w:val="24"/>
        </w:rPr>
        <w:t>. En primera instancia, huir del castigo era resistir al escarmiento que recaería en el cuerpo del subordinado</w:t>
      </w:r>
      <w:r w:rsidR="002D59E5" w:rsidRPr="00A2680F">
        <w:rPr>
          <w:rStyle w:val="Refdenotaalpie"/>
          <w:rFonts w:ascii="Garamond" w:hAnsi="Garamond" w:cs="Times New Roman"/>
          <w:sz w:val="24"/>
          <w:szCs w:val="24"/>
        </w:rPr>
        <w:footnoteReference w:id="41"/>
      </w:r>
      <w:r w:rsidR="00380C3D" w:rsidRPr="00A2680F">
        <w:rPr>
          <w:rFonts w:ascii="Garamond" w:hAnsi="Garamond" w:cs="Times New Roman"/>
          <w:sz w:val="24"/>
          <w:szCs w:val="24"/>
        </w:rPr>
        <w:t>:</w:t>
      </w:r>
      <w:r w:rsidRPr="00A2680F">
        <w:rPr>
          <w:rFonts w:ascii="Garamond" w:hAnsi="Garamond" w:cs="Times New Roman"/>
          <w:sz w:val="24"/>
          <w:szCs w:val="24"/>
        </w:rPr>
        <w:t xml:space="preserve"> </w:t>
      </w:r>
      <w:r w:rsidRPr="00A2680F">
        <w:rPr>
          <w:rFonts w:ascii="Garamond" w:hAnsi="Garamond" w:cs="Times New Roman"/>
          <w:i/>
          <w:iCs/>
          <w:sz w:val="24"/>
          <w:szCs w:val="24"/>
        </w:rPr>
        <w:t>“[…] porque ésta cuando su señora le quería castigar le andaba huyendo […]”</w:t>
      </w:r>
      <w:r w:rsidRPr="00A2680F">
        <w:rPr>
          <w:rStyle w:val="Refdenotaalpie"/>
          <w:rFonts w:ascii="Garamond" w:hAnsi="Garamond" w:cs="Times New Roman"/>
          <w:sz w:val="24"/>
          <w:szCs w:val="24"/>
        </w:rPr>
        <w:footnoteReference w:id="42"/>
      </w:r>
      <w:r w:rsidR="002D59E5" w:rsidRPr="00A2680F">
        <w:rPr>
          <w:rFonts w:ascii="Garamond" w:hAnsi="Garamond" w:cs="Times New Roman"/>
          <w:sz w:val="24"/>
          <w:szCs w:val="24"/>
        </w:rPr>
        <w:t>.</w:t>
      </w:r>
      <w:r w:rsidRPr="00A2680F">
        <w:rPr>
          <w:rFonts w:ascii="Garamond" w:hAnsi="Garamond" w:cs="Times New Roman"/>
          <w:sz w:val="24"/>
          <w:szCs w:val="24"/>
        </w:rPr>
        <w:t xml:space="preserve"> </w:t>
      </w:r>
    </w:p>
    <w:p w14:paraId="19A0C8E2" w14:textId="77777777" w:rsidR="00316FFC" w:rsidRPr="00A2680F" w:rsidRDefault="00316FFC" w:rsidP="00A2680F">
      <w:pPr>
        <w:tabs>
          <w:tab w:val="left" w:pos="6394"/>
        </w:tabs>
        <w:jc w:val="both"/>
        <w:rPr>
          <w:rFonts w:ascii="Garamond" w:hAnsi="Garamond" w:cs="Times New Roman"/>
          <w:sz w:val="24"/>
          <w:szCs w:val="24"/>
        </w:rPr>
      </w:pPr>
    </w:p>
    <w:p w14:paraId="18053940" w14:textId="00247B07" w:rsidR="00454BD6"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t>Otra de las estrategias estaba relacionada con el tono de la voz en las respuestas a las órdenes o en las formas de deferencia hacia los superiores</w:t>
      </w:r>
      <w:r w:rsidR="00FC11E9" w:rsidRPr="00A2680F">
        <w:rPr>
          <w:rFonts w:ascii="Garamond" w:hAnsi="Garamond" w:cs="Times New Roman"/>
          <w:sz w:val="24"/>
          <w:szCs w:val="24"/>
        </w:rPr>
        <w:t>.</w:t>
      </w:r>
      <w:r w:rsidRPr="00A2680F">
        <w:rPr>
          <w:rFonts w:ascii="Garamond" w:hAnsi="Garamond" w:cs="Times New Roman"/>
          <w:sz w:val="24"/>
          <w:szCs w:val="24"/>
        </w:rPr>
        <w:t xml:space="preserve"> Scott revela que el refunfuño transmitido crípticamente por medio de un gemido, un suspiro, un quejido, una risa contenida, un silencio oportuno, un guiño, una mirada fija o una murmuración entre los dientes puede indicar descontento sin correr el riesgo de la represalia</w:t>
      </w:r>
      <w:r w:rsidR="002D59E5" w:rsidRPr="00A2680F">
        <w:rPr>
          <w:rStyle w:val="Refdenotaalpie"/>
          <w:rFonts w:ascii="Garamond" w:hAnsi="Garamond" w:cs="Times New Roman"/>
          <w:sz w:val="24"/>
          <w:szCs w:val="24"/>
        </w:rPr>
        <w:footnoteReference w:id="43"/>
      </w:r>
      <w:r w:rsidR="009930CD" w:rsidRPr="00A2680F">
        <w:rPr>
          <w:rFonts w:ascii="Garamond" w:hAnsi="Garamond" w:cs="Times New Roman"/>
          <w:sz w:val="24"/>
          <w:szCs w:val="24"/>
        </w:rPr>
        <w:t>.</w:t>
      </w:r>
      <w:r w:rsidR="00FC11E9" w:rsidRPr="00A2680F">
        <w:rPr>
          <w:rFonts w:ascii="Garamond" w:hAnsi="Garamond" w:cs="Times New Roman"/>
          <w:sz w:val="24"/>
          <w:szCs w:val="24"/>
        </w:rPr>
        <w:t xml:space="preserve"> </w:t>
      </w:r>
      <w:r w:rsidRPr="00A2680F">
        <w:rPr>
          <w:rFonts w:ascii="Garamond" w:hAnsi="Garamond" w:cs="Times New Roman"/>
          <w:sz w:val="24"/>
          <w:szCs w:val="24"/>
        </w:rPr>
        <w:t>Juana María fue un poco más lejos del disfraz del discurso oculto, su alcance abrió grietas en las murallas que contenían sus anhelos de au</w:t>
      </w:r>
      <w:r w:rsidR="00164744" w:rsidRPr="00A2680F">
        <w:rPr>
          <w:rFonts w:ascii="Garamond" w:hAnsi="Garamond" w:cs="Times New Roman"/>
          <w:sz w:val="24"/>
          <w:szCs w:val="24"/>
        </w:rPr>
        <w:t>tonomía. Poco a poco</w:t>
      </w:r>
      <w:r w:rsidRPr="00A2680F">
        <w:rPr>
          <w:rFonts w:ascii="Garamond" w:hAnsi="Garamond" w:cs="Times New Roman"/>
          <w:sz w:val="24"/>
          <w:szCs w:val="24"/>
        </w:rPr>
        <w:t xml:space="preserve"> fue conquistando espacios de resi</w:t>
      </w:r>
      <w:r w:rsidR="00164744" w:rsidRPr="00A2680F">
        <w:rPr>
          <w:rFonts w:ascii="Garamond" w:hAnsi="Garamond" w:cs="Times New Roman"/>
          <w:sz w:val="24"/>
          <w:szCs w:val="24"/>
        </w:rPr>
        <w:t>stencia negados a los</w:t>
      </w:r>
      <w:r w:rsidRPr="00A2680F">
        <w:rPr>
          <w:rFonts w:ascii="Garamond" w:hAnsi="Garamond" w:cs="Times New Roman"/>
          <w:sz w:val="24"/>
          <w:szCs w:val="24"/>
        </w:rPr>
        <w:t xml:space="preserve"> de su condición. Por ejemplo, Juan Josef Moreno declaró que la mencionada mulata </w:t>
      </w:r>
      <w:r w:rsidRPr="00A2680F">
        <w:rPr>
          <w:rFonts w:ascii="Garamond" w:hAnsi="Garamond" w:cs="Times New Roman"/>
          <w:i/>
          <w:iCs/>
          <w:sz w:val="24"/>
          <w:szCs w:val="24"/>
        </w:rPr>
        <w:t>“[…] era respondona, cuando su señora le mandaba alguna cosa”</w:t>
      </w:r>
      <w:r w:rsidRPr="00A2680F">
        <w:rPr>
          <w:rStyle w:val="Refdenotaalpie"/>
          <w:rFonts w:ascii="Garamond" w:hAnsi="Garamond" w:cs="Times New Roman"/>
          <w:sz w:val="24"/>
          <w:szCs w:val="24"/>
        </w:rPr>
        <w:footnoteReference w:id="44"/>
      </w:r>
      <w:r w:rsidR="0026572D" w:rsidRPr="00A2680F">
        <w:rPr>
          <w:rFonts w:ascii="Garamond" w:hAnsi="Garamond" w:cs="Times New Roman"/>
          <w:sz w:val="24"/>
          <w:szCs w:val="24"/>
        </w:rPr>
        <w:t>.</w:t>
      </w:r>
      <w:r w:rsidRPr="00A2680F">
        <w:rPr>
          <w:rFonts w:ascii="Garamond" w:hAnsi="Garamond" w:cs="Times New Roman"/>
          <w:sz w:val="24"/>
          <w:szCs w:val="24"/>
        </w:rPr>
        <w:t xml:space="preserve"> Responder a las exigencias del dominador era más grave que desobedecer en la práctica, implicaba empezar a negarse abiertamente a obedecer, aunque Juana María al final terminara acatando los mandatos. </w:t>
      </w:r>
    </w:p>
    <w:p w14:paraId="6FA0F2A0" w14:textId="77777777" w:rsidR="00316FFC" w:rsidRPr="00A2680F" w:rsidRDefault="00316FFC" w:rsidP="00A2680F">
      <w:pPr>
        <w:tabs>
          <w:tab w:val="left" w:pos="6394"/>
        </w:tabs>
        <w:jc w:val="both"/>
        <w:rPr>
          <w:rFonts w:ascii="Garamond" w:hAnsi="Garamond" w:cs="Times New Roman"/>
          <w:sz w:val="24"/>
          <w:szCs w:val="24"/>
        </w:rPr>
      </w:pPr>
    </w:p>
    <w:p w14:paraId="1B7204D3" w14:textId="408835CA" w:rsidR="00454BD6"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lastRenderedPageBreak/>
        <w:t>La confrontación entre los amos y su esclava llegó hasta tal punto que la subordinada ganó cierto poder en el lugar donde se administraba y manejaba los alimentos. Cuando el testigo Asencio Josef Mejía fue presentado para rendir testimonio a favor</w:t>
      </w:r>
      <w:r w:rsidR="006E158A" w:rsidRPr="00A2680F">
        <w:rPr>
          <w:rFonts w:ascii="Garamond" w:hAnsi="Garamond" w:cs="Times New Roman"/>
          <w:sz w:val="24"/>
          <w:szCs w:val="24"/>
        </w:rPr>
        <w:t xml:space="preserve"> de don Josef Javier</w:t>
      </w:r>
      <w:r w:rsidRPr="00A2680F">
        <w:rPr>
          <w:rFonts w:ascii="Garamond" w:hAnsi="Garamond" w:cs="Times New Roman"/>
          <w:sz w:val="24"/>
          <w:szCs w:val="24"/>
        </w:rPr>
        <w:t>, señaló la a</w:t>
      </w:r>
      <w:r w:rsidR="006E158A" w:rsidRPr="00A2680F">
        <w:rPr>
          <w:rFonts w:ascii="Garamond" w:hAnsi="Garamond" w:cs="Times New Roman"/>
          <w:sz w:val="24"/>
          <w:szCs w:val="24"/>
        </w:rPr>
        <w:t>ltivez y la soberbia de la cauti</w:t>
      </w:r>
      <w:r w:rsidRPr="00A2680F">
        <w:rPr>
          <w:rFonts w:ascii="Garamond" w:hAnsi="Garamond" w:cs="Times New Roman"/>
          <w:sz w:val="24"/>
          <w:szCs w:val="24"/>
        </w:rPr>
        <w:t>va, y que en la casa todo lo de la despensa y la cocina es</w:t>
      </w:r>
      <w:r w:rsidR="006E158A" w:rsidRPr="00A2680F">
        <w:rPr>
          <w:rFonts w:ascii="Garamond" w:hAnsi="Garamond" w:cs="Times New Roman"/>
          <w:sz w:val="24"/>
          <w:szCs w:val="24"/>
        </w:rPr>
        <w:t>taban a disposición de ella</w:t>
      </w:r>
      <w:r w:rsidRPr="00A2680F">
        <w:rPr>
          <w:rStyle w:val="Refdenotaalpie"/>
          <w:rFonts w:ascii="Garamond" w:hAnsi="Garamond" w:cs="Times New Roman"/>
          <w:sz w:val="24"/>
          <w:szCs w:val="24"/>
        </w:rPr>
        <w:footnoteReference w:id="45"/>
      </w:r>
      <w:r w:rsidR="0026572D" w:rsidRPr="00A2680F">
        <w:rPr>
          <w:rFonts w:ascii="Garamond" w:hAnsi="Garamond" w:cs="Times New Roman"/>
          <w:sz w:val="24"/>
          <w:szCs w:val="24"/>
        </w:rPr>
        <w:t>.</w:t>
      </w:r>
      <w:r w:rsidRPr="00A2680F">
        <w:rPr>
          <w:rFonts w:ascii="Garamond" w:hAnsi="Garamond" w:cs="Times New Roman"/>
          <w:sz w:val="24"/>
          <w:szCs w:val="24"/>
        </w:rPr>
        <w:t xml:space="preserve"> Don Josef Miguel de la Zerda mencionó que la susodicha </w:t>
      </w:r>
      <w:r w:rsidRPr="00A2680F">
        <w:rPr>
          <w:rFonts w:ascii="Garamond" w:hAnsi="Garamond" w:cs="Times New Roman"/>
          <w:i/>
          <w:iCs/>
          <w:sz w:val="24"/>
          <w:szCs w:val="24"/>
        </w:rPr>
        <w:t>“[…] era dueña de todo”</w:t>
      </w:r>
      <w:r w:rsidRPr="00A2680F">
        <w:rPr>
          <w:rFonts w:ascii="Garamond" w:hAnsi="Garamond" w:cs="Times New Roman"/>
          <w:sz w:val="24"/>
          <w:szCs w:val="24"/>
        </w:rPr>
        <w:t xml:space="preserve"> y </w:t>
      </w:r>
      <w:r w:rsidRPr="00A2680F">
        <w:rPr>
          <w:rFonts w:ascii="Garamond" w:hAnsi="Garamond" w:cs="Times New Roman"/>
          <w:i/>
          <w:iCs/>
          <w:sz w:val="24"/>
          <w:szCs w:val="24"/>
        </w:rPr>
        <w:t>“que gobernaba la casa del que lo presenta”</w:t>
      </w:r>
      <w:r w:rsidRPr="00A2680F">
        <w:rPr>
          <w:rStyle w:val="Refdenotaalpie"/>
          <w:rFonts w:ascii="Garamond" w:hAnsi="Garamond" w:cs="Times New Roman"/>
          <w:sz w:val="24"/>
          <w:szCs w:val="24"/>
        </w:rPr>
        <w:footnoteReference w:id="46"/>
      </w:r>
      <w:r w:rsidR="0026572D" w:rsidRPr="00A2680F">
        <w:rPr>
          <w:rFonts w:ascii="Garamond" w:hAnsi="Garamond" w:cs="Times New Roman"/>
          <w:sz w:val="24"/>
          <w:szCs w:val="24"/>
        </w:rPr>
        <w:t>.</w:t>
      </w:r>
      <w:r w:rsidRPr="00A2680F">
        <w:rPr>
          <w:rFonts w:ascii="Garamond" w:hAnsi="Garamond" w:cs="Times New Roman"/>
          <w:sz w:val="24"/>
          <w:szCs w:val="24"/>
        </w:rPr>
        <w:t xml:space="preserve"> Hasta aquí la dominada h</w:t>
      </w:r>
      <w:r w:rsidR="00C035DC" w:rsidRPr="00A2680F">
        <w:rPr>
          <w:rFonts w:ascii="Garamond" w:hAnsi="Garamond" w:cs="Times New Roman"/>
          <w:sz w:val="24"/>
          <w:szCs w:val="24"/>
        </w:rPr>
        <w:t>abía ganado poder con respecto de</w:t>
      </w:r>
      <w:r w:rsidRPr="00A2680F">
        <w:rPr>
          <w:rFonts w:ascii="Garamond" w:hAnsi="Garamond" w:cs="Times New Roman"/>
          <w:sz w:val="24"/>
          <w:szCs w:val="24"/>
        </w:rPr>
        <w:t xml:space="preserve"> sus amos y su resistencia clandestina  había puesto en entre dicho la autoridad y la capacidad para apropiarse de su cuerpo y mente. Estos actos de indisciplina eran tolerados por don Josef Javier y doña Victoria mientras no se </w:t>
      </w:r>
      <w:r w:rsidR="00316FFC" w:rsidRPr="00A2680F">
        <w:rPr>
          <w:rFonts w:ascii="Garamond" w:hAnsi="Garamond" w:cs="Times New Roman"/>
          <w:sz w:val="24"/>
          <w:szCs w:val="24"/>
        </w:rPr>
        <w:t>manifestarán</w:t>
      </w:r>
      <w:r w:rsidRPr="00A2680F">
        <w:rPr>
          <w:rFonts w:ascii="Garamond" w:hAnsi="Garamond" w:cs="Times New Roman"/>
          <w:sz w:val="24"/>
          <w:szCs w:val="24"/>
        </w:rPr>
        <w:t xml:space="preserve"> públicamente, pues todavía no rompían con su dominación.</w:t>
      </w:r>
    </w:p>
    <w:p w14:paraId="77B55E67" w14:textId="77777777" w:rsidR="00316FFC" w:rsidRPr="00A2680F" w:rsidRDefault="00316FFC" w:rsidP="00A2680F">
      <w:pPr>
        <w:tabs>
          <w:tab w:val="left" w:pos="6394"/>
        </w:tabs>
        <w:jc w:val="both"/>
        <w:rPr>
          <w:rFonts w:ascii="Garamond" w:hAnsi="Garamond" w:cs="Times New Roman"/>
          <w:sz w:val="24"/>
          <w:szCs w:val="24"/>
        </w:rPr>
      </w:pPr>
    </w:p>
    <w:p w14:paraId="002FCB74" w14:textId="610AA375" w:rsidR="00454BD6"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t xml:space="preserve">Una resistencia más </w:t>
      </w:r>
      <w:r w:rsidR="00765D06" w:rsidRPr="00A2680F">
        <w:rPr>
          <w:rFonts w:ascii="Garamond" w:hAnsi="Garamond" w:cs="Times New Roman"/>
          <w:sz w:val="24"/>
          <w:szCs w:val="24"/>
        </w:rPr>
        <w:t>direc</w:t>
      </w:r>
      <w:r w:rsidRPr="00A2680F">
        <w:rPr>
          <w:rFonts w:ascii="Garamond" w:hAnsi="Garamond" w:cs="Times New Roman"/>
          <w:sz w:val="24"/>
          <w:szCs w:val="24"/>
        </w:rPr>
        <w:t>ta que las anteriores es la que implica una amenaza contenida en la relación de dominación, constituye un reto y una declaración de guerra</w:t>
      </w:r>
      <w:r w:rsidR="000F45D1" w:rsidRPr="00A2680F">
        <w:rPr>
          <w:rFonts w:ascii="Garamond" w:hAnsi="Garamond" w:cs="Times New Roman"/>
          <w:sz w:val="24"/>
          <w:szCs w:val="24"/>
        </w:rPr>
        <w:t>.</w:t>
      </w:r>
      <w:r w:rsidRPr="00A2680F">
        <w:rPr>
          <w:rFonts w:ascii="Garamond" w:hAnsi="Garamond" w:cs="Times New Roman"/>
          <w:sz w:val="24"/>
          <w:szCs w:val="24"/>
        </w:rPr>
        <w:t xml:space="preserve"> El rechazo abierto más impactante para dominados, dominadores y espectadores se produce con la declaración pública del discurso oculto. Es el momento de la reivindicación personal que trae consigo un sentimiento de satisfacción y orgullo de la primera declaración frontal de insubordinación</w:t>
      </w:r>
      <w:r w:rsidR="0026572D" w:rsidRPr="00A2680F">
        <w:rPr>
          <w:rStyle w:val="Refdenotaalpie"/>
          <w:rFonts w:ascii="Garamond" w:hAnsi="Garamond" w:cs="Times New Roman"/>
          <w:sz w:val="24"/>
          <w:szCs w:val="24"/>
        </w:rPr>
        <w:footnoteReference w:id="47"/>
      </w:r>
      <w:r w:rsidR="00913C62" w:rsidRPr="00A2680F">
        <w:rPr>
          <w:rFonts w:ascii="Garamond" w:hAnsi="Garamond" w:cs="Times New Roman"/>
          <w:sz w:val="24"/>
          <w:szCs w:val="24"/>
        </w:rPr>
        <w:t>.</w:t>
      </w:r>
      <w:r w:rsidRPr="00A2680F">
        <w:rPr>
          <w:rFonts w:ascii="Garamond" w:hAnsi="Garamond" w:cs="Times New Roman"/>
          <w:sz w:val="24"/>
          <w:szCs w:val="24"/>
        </w:rPr>
        <w:t xml:space="preserve"> Todo indica que gradualmente la esclava fue desenmascarando las estrategias para replicar a la dominación, puesto que logró articular sus humillaciones con la agresividad interior que se manifestó en un “aventón” que arrojó a su señora contra una puerta, tal como lo testificó Antonio Gordillo</w:t>
      </w:r>
      <w:r w:rsidRPr="00A2680F">
        <w:rPr>
          <w:rStyle w:val="Refdenotaalpie"/>
          <w:rFonts w:ascii="Garamond" w:hAnsi="Garamond" w:cs="Times New Roman"/>
          <w:sz w:val="24"/>
          <w:szCs w:val="24"/>
        </w:rPr>
        <w:footnoteReference w:id="48"/>
      </w:r>
      <w:r w:rsidR="0026572D" w:rsidRPr="00A2680F">
        <w:rPr>
          <w:rFonts w:ascii="Garamond" w:hAnsi="Garamond" w:cs="Times New Roman"/>
          <w:sz w:val="24"/>
          <w:szCs w:val="24"/>
        </w:rPr>
        <w:t>.</w:t>
      </w:r>
      <w:r w:rsidRPr="00A2680F">
        <w:rPr>
          <w:rFonts w:ascii="Garamond" w:hAnsi="Garamond" w:cs="Times New Roman"/>
          <w:sz w:val="24"/>
          <w:szCs w:val="24"/>
        </w:rPr>
        <w:t xml:space="preserve"> </w:t>
      </w:r>
    </w:p>
    <w:p w14:paraId="3E95B29F" w14:textId="77777777" w:rsidR="00316FFC" w:rsidRPr="00A2680F" w:rsidRDefault="00316FFC" w:rsidP="00A2680F">
      <w:pPr>
        <w:tabs>
          <w:tab w:val="left" w:pos="6394"/>
        </w:tabs>
        <w:jc w:val="both"/>
        <w:rPr>
          <w:rFonts w:ascii="Garamond" w:hAnsi="Garamond" w:cs="Times New Roman"/>
          <w:sz w:val="24"/>
          <w:szCs w:val="24"/>
        </w:rPr>
      </w:pPr>
    </w:p>
    <w:p w14:paraId="449CC87A" w14:textId="2C04108D" w:rsidR="00A100F2"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t xml:space="preserve">El maltrato físico y verbal recibido diariamente por Juana María y sus hijas la condujo a un acto que no tiene una explicación racional, pero que transformó por completo sus vidas: el hecho de arrancar definitivamente a las mulaticas de la dominación de </w:t>
      </w:r>
      <w:r w:rsidR="00D9565D" w:rsidRPr="00A2680F">
        <w:rPr>
          <w:rFonts w:ascii="Garamond" w:hAnsi="Garamond" w:cs="Times New Roman"/>
          <w:sz w:val="24"/>
          <w:szCs w:val="24"/>
        </w:rPr>
        <w:t>los amos por medio de la muerte</w:t>
      </w:r>
      <w:r w:rsidR="00380C3D" w:rsidRPr="00A2680F">
        <w:rPr>
          <w:rFonts w:ascii="Garamond" w:hAnsi="Garamond" w:cs="Times New Roman"/>
          <w:sz w:val="24"/>
          <w:szCs w:val="24"/>
        </w:rPr>
        <w:t>.</w:t>
      </w:r>
      <w:r w:rsidRPr="00A2680F">
        <w:rPr>
          <w:rFonts w:ascii="Garamond" w:hAnsi="Garamond" w:cs="Times New Roman"/>
          <w:sz w:val="24"/>
          <w:szCs w:val="24"/>
        </w:rPr>
        <w:t xml:space="preserve"> La esclava decidió que </w:t>
      </w:r>
      <w:r w:rsidRPr="00A2680F">
        <w:rPr>
          <w:rFonts w:ascii="Garamond" w:hAnsi="Garamond" w:cs="Times New Roman"/>
          <w:i/>
          <w:iCs/>
          <w:sz w:val="24"/>
          <w:szCs w:val="24"/>
        </w:rPr>
        <w:t>“[…] por no ver padecer más a sus hijas, fue que les dio muerte”</w:t>
      </w:r>
      <w:r w:rsidRPr="00A2680F">
        <w:rPr>
          <w:rStyle w:val="Refdenotaalpie"/>
          <w:rFonts w:ascii="Garamond" w:hAnsi="Garamond" w:cs="Times New Roman"/>
          <w:sz w:val="24"/>
          <w:szCs w:val="24"/>
        </w:rPr>
        <w:footnoteReference w:id="49"/>
      </w:r>
      <w:r w:rsidR="0026572D" w:rsidRPr="00A2680F">
        <w:rPr>
          <w:rFonts w:ascii="Garamond" w:hAnsi="Garamond" w:cs="Times New Roman"/>
          <w:sz w:val="24"/>
          <w:szCs w:val="24"/>
        </w:rPr>
        <w:t>.</w:t>
      </w:r>
      <w:r w:rsidRPr="00A2680F">
        <w:rPr>
          <w:rFonts w:ascii="Garamond" w:hAnsi="Garamond" w:cs="Times New Roman"/>
          <w:sz w:val="24"/>
          <w:szCs w:val="24"/>
        </w:rPr>
        <w:t xml:space="preserve"> </w:t>
      </w:r>
      <w:r w:rsidR="00DE152D" w:rsidRPr="00A2680F">
        <w:rPr>
          <w:rFonts w:ascii="Garamond" w:hAnsi="Garamond" w:cs="Times New Roman"/>
          <w:sz w:val="24"/>
          <w:szCs w:val="24"/>
        </w:rPr>
        <w:t xml:space="preserve">Este hecho </w:t>
      </w:r>
      <w:r w:rsidRPr="00A2680F">
        <w:rPr>
          <w:rFonts w:ascii="Garamond" w:hAnsi="Garamond" w:cs="Times New Roman"/>
          <w:sz w:val="24"/>
          <w:szCs w:val="24"/>
        </w:rPr>
        <w:t>se produjo en una situación de dominación que llevó a la extrema loc</w:t>
      </w:r>
      <w:r w:rsidR="00DE152D" w:rsidRPr="00A2680F">
        <w:rPr>
          <w:rFonts w:ascii="Garamond" w:hAnsi="Garamond" w:cs="Times New Roman"/>
          <w:sz w:val="24"/>
          <w:szCs w:val="24"/>
        </w:rPr>
        <w:t>ura a Juana María, acontecimiento</w:t>
      </w:r>
      <w:r w:rsidRPr="00A2680F">
        <w:rPr>
          <w:rFonts w:ascii="Garamond" w:hAnsi="Garamond" w:cs="Times New Roman"/>
          <w:sz w:val="24"/>
          <w:szCs w:val="24"/>
        </w:rPr>
        <w:t xml:space="preserve"> condenado por las </w:t>
      </w:r>
      <w:r w:rsidR="00DE152D" w:rsidRPr="00A2680F">
        <w:rPr>
          <w:rFonts w:ascii="Garamond" w:hAnsi="Garamond" w:cs="Times New Roman"/>
          <w:sz w:val="24"/>
          <w:szCs w:val="24"/>
        </w:rPr>
        <w:t>autorid</w:t>
      </w:r>
      <w:r w:rsidR="00A24582" w:rsidRPr="00A2680F">
        <w:rPr>
          <w:rFonts w:ascii="Garamond" w:hAnsi="Garamond" w:cs="Times New Roman"/>
          <w:sz w:val="24"/>
          <w:szCs w:val="24"/>
        </w:rPr>
        <w:t>ades</w:t>
      </w:r>
      <w:r w:rsidR="00DE152D" w:rsidRPr="00A2680F">
        <w:rPr>
          <w:rFonts w:ascii="Garamond" w:hAnsi="Garamond" w:cs="Times New Roman"/>
          <w:sz w:val="24"/>
          <w:szCs w:val="24"/>
        </w:rPr>
        <w:t xml:space="preserve"> del Socorro</w:t>
      </w:r>
      <w:r w:rsidRPr="00A2680F">
        <w:rPr>
          <w:rFonts w:ascii="Garamond" w:hAnsi="Garamond" w:cs="Times New Roman"/>
          <w:sz w:val="24"/>
          <w:szCs w:val="24"/>
        </w:rPr>
        <w:t>.</w:t>
      </w:r>
      <w:r w:rsidR="007E3781" w:rsidRPr="00A2680F">
        <w:rPr>
          <w:rFonts w:ascii="Garamond" w:hAnsi="Garamond" w:cs="Times New Roman"/>
          <w:sz w:val="24"/>
          <w:szCs w:val="24"/>
        </w:rPr>
        <w:t xml:space="preserve"> </w:t>
      </w:r>
      <w:r w:rsidR="00E84498" w:rsidRPr="00A2680F">
        <w:rPr>
          <w:rFonts w:ascii="Garamond" w:hAnsi="Garamond" w:cs="Times New Roman"/>
          <w:sz w:val="24"/>
          <w:szCs w:val="24"/>
        </w:rPr>
        <w:t xml:space="preserve">La historiadora italiana Irene </w:t>
      </w:r>
      <w:r w:rsidR="00CC7455" w:rsidRPr="00A2680F">
        <w:rPr>
          <w:rFonts w:ascii="Garamond" w:hAnsi="Garamond" w:cs="Times New Roman"/>
          <w:sz w:val="24"/>
          <w:szCs w:val="24"/>
        </w:rPr>
        <w:t>Fattacciu</w:t>
      </w:r>
      <w:r w:rsidR="00E84498" w:rsidRPr="00A2680F">
        <w:rPr>
          <w:rFonts w:ascii="Garamond" w:hAnsi="Garamond" w:cs="Times New Roman"/>
          <w:sz w:val="24"/>
          <w:szCs w:val="24"/>
        </w:rPr>
        <w:t xml:space="preserve"> muestra que algunas esclavas en las colonias sureñas de los Estados Unidos optaron por el infanticidio como forma </w:t>
      </w:r>
      <w:r w:rsidR="002B3B99" w:rsidRPr="00A2680F">
        <w:rPr>
          <w:rFonts w:ascii="Garamond" w:hAnsi="Garamond" w:cs="Times New Roman"/>
          <w:sz w:val="24"/>
          <w:szCs w:val="24"/>
        </w:rPr>
        <w:t>innegable y desesperada</w:t>
      </w:r>
      <w:r w:rsidR="00EE3ED5" w:rsidRPr="00A2680F">
        <w:rPr>
          <w:rFonts w:ascii="Garamond" w:hAnsi="Garamond" w:cs="Times New Roman"/>
          <w:sz w:val="24"/>
          <w:szCs w:val="24"/>
        </w:rPr>
        <w:t xml:space="preserve"> </w:t>
      </w:r>
      <w:r w:rsidR="00E84498" w:rsidRPr="00A2680F">
        <w:rPr>
          <w:rFonts w:ascii="Garamond" w:hAnsi="Garamond" w:cs="Times New Roman"/>
          <w:sz w:val="24"/>
          <w:szCs w:val="24"/>
        </w:rPr>
        <w:t>de rebelión</w:t>
      </w:r>
      <w:r w:rsidR="002B3B99" w:rsidRPr="00A2680F">
        <w:rPr>
          <w:rFonts w:ascii="Garamond" w:hAnsi="Garamond" w:cs="Times New Roman"/>
          <w:sz w:val="24"/>
          <w:szCs w:val="24"/>
        </w:rPr>
        <w:t>, como gesto contra la maternidad negada en el sistema esclavista</w:t>
      </w:r>
      <w:r w:rsidR="0026572D" w:rsidRPr="00A2680F">
        <w:rPr>
          <w:rStyle w:val="Refdenotaalpie"/>
          <w:rFonts w:ascii="Garamond" w:hAnsi="Garamond" w:cs="Times New Roman"/>
          <w:sz w:val="24"/>
          <w:szCs w:val="24"/>
        </w:rPr>
        <w:footnoteReference w:id="50"/>
      </w:r>
      <w:r w:rsidR="00E84498" w:rsidRPr="00A2680F">
        <w:rPr>
          <w:rFonts w:ascii="Garamond" w:hAnsi="Garamond" w:cs="Times New Roman"/>
          <w:sz w:val="24"/>
          <w:szCs w:val="24"/>
        </w:rPr>
        <w:t xml:space="preserve">. </w:t>
      </w:r>
      <w:r w:rsidR="007E3781" w:rsidRPr="00A2680F">
        <w:rPr>
          <w:rFonts w:ascii="Garamond" w:hAnsi="Garamond" w:cs="Times New Roman"/>
          <w:sz w:val="24"/>
          <w:szCs w:val="24"/>
        </w:rPr>
        <w:t xml:space="preserve">En el caso de la esclava Felipa acontecido en 1768 en la ciudad de Purificación </w:t>
      </w:r>
      <w:r w:rsidR="00C10E9D" w:rsidRPr="00A2680F">
        <w:rPr>
          <w:rFonts w:ascii="Garamond" w:hAnsi="Garamond" w:cs="Times New Roman"/>
          <w:sz w:val="24"/>
          <w:szCs w:val="24"/>
        </w:rPr>
        <w:t xml:space="preserve">(Virreinato de la Nueva Granada) </w:t>
      </w:r>
      <w:r w:rsidR="007E3781" w:rsidRPr="00A2680F">
        <w:rPr>
          <w:rFonts w:ascii="Garamond" w:hAnsi="Garamond" w:cs="Times New Roman"/>
          <w:sz w:val="24"/>
          <w:szCs w:val="24"/>
        </w:rPr>
        <w:t xml:space="preserve">estudiado por Soulodre-La France, </w:t>
      </w:r>
      <w:r w:rsidR="007E3781" w:rsidRPr="00A2680F">
        <w:rPr>
          <w:rFonts w:ascii="Garamond" w:hAnsi="Garamond" w:cs="Times New Roman"/>
          <w:sz w:val="24"/>
          <w:szCs w:val="24"/>
        </w:rPr>
        <w:lastRenderedPageBreak/>
        <w:t>la cautiva dio muerte a su hija de 5 años. Por el testimonio de un vecino se sabe que su acto fue “por amor”, es decir, porque su amo iba a separarlas, lo que indica que la desarticulación del víncu</w:t>
      </w:r>
      <w:r w:rsidR="00723FB8" w:rsidRPr="00A2680F">
        <w:rPr>
          <w:rFonts w:ascii="Garamond" w:hAnsi="Garamond" w:cs="Times New Roman"/>
          <w:sz w:val="24"/>
          <w:szCs w:val="24"/>
        </w:rPr>
        <w:t>lo madre-hijo fue motivo de infanti</w:t>
      </w:r>
      <w:r w:rsidR="007E3781" w:rsidRPr="00A2680F">
        <w:rPr>
          <w:rFonts w:ascii="Garamond" w:hAnsi="Garamond" w:cs="Times New Roman"/>
          <w:sz w:val="24"/>
          <w:szCs w:val="24"/>
        </w:rPr>
        <w:t>cidio</w:t>
      </w:r>
      <w:r w:rsidR="0026572D" w:rsidRPr="00A2680F">
        <w:rPr>
          <w:rStyle w:val="Refdenotaalpie"/>
          <w:rFonts w:ascii="Garamond" w:hAnsi="Garamond" w:cs="Times New Roman"/>
          <w:sz w:val="24"/>
          <w:szCs w:val="24"/>
        </w:rPr>
        <w:footnoteReference w:id="51"/>
      </w:r>
      <w:r w:rsidR="007E3781" w:rsidRPr="00A2680F">
        <w:rPr>
          <w:rFonts w:ascii="Garamond" w:hAnsi="Garamond" w:cs="Times New Roman"/>
          <w:sz w:val="24"/>
          <w:szCs w:val="24"/>
        </w:rPr>
        <w:t>. Por otro lado, Spi</w:t>
      </w:r>
      <w:r w:rsidR="00A37A9D" w:rsidRPr="00A2680F">
        <w:rPr>
          <w:rFonts w:ascii="Garamond" w:hAnsi="Garamond" w:cs="Times New Roman"/>
          <w:sz w:val="24"/>
          <w:szCs w:val="24"/>
        </w:rPr>
        <w:t>c</w:t>
      </w:r>
      <w:r w:rsidR="007E3781" w:rsidRPr="00A2680F">
        <w:rPr>
          <w:rFonts w:ascii="Garamond" w:hAnsi="Garamond" w:cs="Times New Roman"/>
          <w:sz w:val="24"/>
          <w:szCs w:val="24"/>
        </w:rPr>
        <w:t>ker in</w:t>
      </w:r>
      <w:r w:rsidR="00723FB8" w:rsidRPr="00A2680F">
        <w:rPr>
          <w:rFonts w:ascii="Garamond" w:hAnsi="Garamond" w:cs="Times New Roman"/>
          <w:sz w:val="24"/>
          <w:szCs w:val="24"/>
        </w:rPr>
        <w:t>dica que otra causa de este acto</w:t>
      </w:r>
      <w:r w:rsidR="007E3781" w:rsidRPr="00A2680F">
        <w:rPr>
          <w:rFonts w:ascii="Garamond" w:hAnsi="Garamond" w:cs="Times New Roman"/>
          <w:sz w:val="24"/>
          <w:szCs w:val="24"/>
        </w:rPr>
        <w:t xml:space="preserve"> en madres esclavas se debió</w:t>
      </w:r>
      <w:r w:rsidR="00A100F2" w:rsidRPr="00A2680F">
        <w:rPr>
          <w:rFonts w:ascii="Garamond" w:hAnsi="Garamond" w:cs="Times New Roman"/>
          <w:sz w:val="24"/>
          <w:szCs w:val="24"/>
        </w:rPr>
        <w:t xml:space="preserve"> como respuesta a las represalias de sus amas</w:t>
      </w:r>
      <w:r w:rsidR="007E3781" w:rsidRPr="00A2680F">
        <w:rPr>
          <w:rFonts w:ascii="Garamond" w:hAnsi="Garamond" w:cs="Times New Roman"/>
          <w:sz w:val="24"/>
          <w:szCs w:val="24"/>
        </w:rPr>
        <w:t xml:space="preserve"> cuando</w:t>
      </w:r>
      <w:r w:rsidR="00A100F2" w:rsidRPr="00A2680F">
        <w:rPr>
          <w:rFonts w:ascii="Garamond" w:hAnsi="Garamond" w:cs="Times New Roman"/>
          <w:sz w:val="24"/>
          <w:szCs w:val="24"/>
        </w:rPr>
        <w:t xml:space="preserve"> el recién nacido</w:t>
      </w:r>
      <w:r w:rsidR="007E3781" w:rsidRPr="00A2680F">
        <w:rPr>
          <w:rFonts w:ascii="Garamond" w:hAnsi="Garamond" w:cs="Times New Roman"/>
          <w:sz w:val="24"/>
          <w:szCs w:val="24"/>
        </w:rPr>
        <w:t xml:space="preserve"> hab</w:t>
      </w:r>
      <w:r w:rsidR="00A100F2" w:rsidRPr="00A2680F">
        <w:rPr>
          <w:rFonts w:ascii="Garamond" w:hAnsi="Garamond" w:cs="Times New Roman"/>
          <w:sz w:val="24"/>
          <w:szCs w:val="24"/>
        </w:rPr>
        <w:t>ía</w:t>
      </w:r>
      <w:r w:rsidR="007E3781" w:rsidRPr="00A2680F">
        <w:rPr>
          <w:rFonts w:ascii="Garamond" w:hAnsi="Garamond" w:cs="Times New Roman"/>
          <w:sz w:val="24"/>
          <w:szCs w:val="24"/>
        </w:rPr>
        <w:t xml:space="preserve"> sido </w:t>
      </w:r>
      <w:r w:rsidR="00A100F2" w:rsidRPr="00A2680F">
        <w:rPr>
          <w:rFonts w:ascii="Garamond" w:hAnsi="Garamond" w:cs="Times New Roman"/>
          <w:sz w:val="24"/>
          <w:szCs w:val="24"/>
        </w:rPr>
        <w:t>producto de los abusos sexuales</w:t>
      </w:r>
      <w:r w:rsidR="007E3781" w:rsidRPr="00A2680F">
        <w:rPr>
          <w:rFonts w:ascii="Garamond" w:hAnsi="Garamond" w:cs="Times New Roman"/>
          <w:sz w:val="24"/>
          <w:szCs w:val="24"/>
        </w:rPr>
        <w:t xml:space="preserve"> sus amos</w:t>
      </w:r>
      <w:r w:rsidR="00A100F2" w:rsidRPr="00A2680F">
        <w:rPr>
          <w:rFonts w:ascii="Garamond" w:hAnsi="Garamond" w:cs="Times New Roman"/>
          <w:sz w:val="24"/>
          <w:szCs w:val="24"/>
        </w:rPr>
        <w:t>. También se dieron casos de filicidios en contextos de abusos sexuales incestuosos con los</w:t>
      </w:r>
      <w:r w:rsidR="007E3781" w:rsidRPr="00A2680F">
        <w:rPr>
          <w:rFonts w:ascii="Garamond" w:hAnsi="Garamond" w:cs="Times New Roman"/>
          <w:sz w:val="24"/>
          <w:szCs w:val="24"/>
        </w:rPr>
        <w:t xml:space="preserve"> progenitores</w:t>
      </w:r>
      <w:r w:rsidR="00A100F2" w:rsidRPr="00A2680F">
        <w:rPr>
          <w:rFonts w:ascii="Garamond" w:hAnsi="Garamond" w:cs="Times New Roman"/>
          <w:sz w:val="24"/>
          <w:szCs w:val="24"/>
        </w:rPr>
        <w:t xml:space="preserve"> y </w:t>
      </w:r>
      <w:r w:rsidR="008434F9" w:rsidRPr="00A2680F">
        <w:rPr>
          <w:rFonts w:ascii="Garamond" w:hAnsi="Garamond" w:cs="Times New Roman"/>
          <w:sz w:val="24"/>
          <w:szCs w:val="24"/>
        </w:rPr>
        <w:t>había el temor a</w:t>
      </w:r>
      <w:r w:rsidR="00A100F2" w:rsidRPr="00A2680F">
        <w:rPr>
          <w:rFonts w:ascii="Garamond" w:hAnsi="Garamond" w:cs="Times New Roman"/>
          <w:sz w:val="24"/>
          <w:szCs w:val="24"/>
        </w:rPr>
        <w:t xml:space="preserve"> las sanciones sociales</w:t>
      </w:r>
      <w:r w:rsidR="0026572D" w:rsidRPr="00A2680F">
        <w:rPr>
          <w:rStyle w:val="Refdenotaalpie"/>
          <w:rFonts w:ascii="Garamond" w:hAnsi="Garamond" w:cs="Times New Roman"/>
          <w:sz w:val="24"/>
          <w:szCs w:val="24"/>
        </w:rPr>
        <w:footnoteReference w:id="52"/>
      </w:r>
      <w:r w:rsidR="007E3781" w:rsidRPr="00A2680F">
        <w:rPr>
          <w:rFonts w:ascii="Garamond" w:hAnsi="Garamond" w:cs="Times New Roman"/>
          <w:sz w:val="24"/>
          <w:szCs w:val="24"/>
        </w:rPr>
        <w:t>.</w:t>
      </w:r>
      <w:r w:rsidR="00D44B33" w:rsidRPr="00A2680F">
        <w:rPr>
          <w:rFonts w:ascii="Garamond" w:hAnsi="Garamond" w:cs="Times New Roman"/>
          <w:sz w:val="24"/>
          <w:szCs w:val="24"/>
        </w:rPr>
        <w:t xml:space="preserve"> En el estudio de Herrera, se presentaron seis infanticidios en una mina en Barbacoas entre 1788 y 1789</w:t>
      </w:r>
      <w:r w:rsidR="008434F9" w:rsidRPr="00A2680F">
        <w:rPr>
          <w:rFonts w:ascii="Garamond" w:hAnsi="Garamond" w:cs="Times New Roman"/>
          <w:sz w:val="24"/>
          <w:szCs w:val="24"/>
        </w:rPr>
        <w:t>, en la costa del Pacífico en el Virreinato de la Nueva Granada</w:t>
      </w:r>
      <w:r w:rsidR="00D44B33" w:rsidRPr="00A2680F">
        <w:rPr>
          <w:rFonts w:ascii="Garamond" w:hAnsi="Garamond" w:cs="Times New Roman"/>
          <w:sz w:val="24"/>
          <w:szCs w:val="24"/>
        </w:rPr>
        <w:t>. La explicación de los delitos se debió a las condiciones de maltrato y hambre que padecían, por lo que los cautivos que cometieron las muertes dijeron que preferían morir a manos de las autoridades que continuar soportando la esclavitud</w:t>
      </w:r>
      <w:r w:rsidR="00630B0D" w:rsidRPr="00A2680F">
        <w:rPr>
          <w:rFonts w:ascii="Garamond" w:hAnsi="Garamond" w:cs="Times New Roman"/>
          <w:sz w:val="24"/>
          <w:szCs w:val="24"/>
        </w:rPr>
        <w:t>, esto como una forma de autodestrucción</w:t>
      </w:r>
      <w:r w:rsidR="0026572D" w:rsidRPr="00A2680F">
        <w:rPr>
          <w:rStyle w:val="Refdenotaalpie"/>
          <w:rFonts w:ascii="Garamond" w:hAnsi="Garamond" w:cs="Times New Roman"/>
          <w:sz w:val="24"/>
          <w:szCs w:val="24"/>
        </w:rPr>
        <w:footnoteReference w:id="53"/>
      </w:r>
      <w:r w:rsidR="00D44B33" w:rsidRPr="00A2680F">
        <w:rPr>
          <w:rFonts w:ascii="Garamond" w:hAnsi="Garamond" w:cs="Times New Roman"/>
          <w:sz w:val="24"/>
          <w:szCs w:val="24"/>
        </w:rPr>
        <w:t xml:space="preserve">. </w:t>
      </w:r>
      <w:r w:rsidR="007E3781" w:rsidRPr="00A2680F">
        <w:rPr>
          <w:rFonts w:ascii="Garamond" w:hAnsi="Garamond" w:cs="Times New Roman"/>
          <w:sz w:val="24"/>
          <w:szCs w:val="24"/>
        </w:rPr>
        <w:t xml:space="preserve"> </w:t>
      </w:r>
    </w:p>
    <w:p w14:paraId="5DCCEF7D" w14:textId="77777777" w:rsidR="00316FFC" w:rsidRPr="00A2680F" w:rsidRDefault="00316FFC" w:rsidP="00A2680F">
      <w:pPr>
        <w:tabs>
          <w:tab w:val="left" w:pos="6394"/>
        </w:tabs>
        <w:jc w:val="both"/>
        <w:rPr>
          <w:rFonts w:ascii="Garamond" w:hAnsi="Garamond" w:cs="Times New Roman"/>
          <w:sz w:val="24"/>
          <w:szCs w:val="24"/>
        </w:rPr>
      </w:pPr>
    </w:p>
    <w:p w14:paraId="4DC3D806" w14:textId="0FF24EFD" w:rsidR="00454BD6" w:rsidRPr="00A2680F" w:rsidRDefault="00454BD6" w:rsidP="00A2680F">
      <w:pPr>
        <w:tabs>
          <w:tab w:val="left" w:pos="6394"/>
        </w:tabs>
        <w:jc w:val="both"/>
        <w:rPr>
          <w:rFonts w:ascii="Garamond" w:hAnsi="Garamond" w:cs="Times New Roman"/>
          <w:sz w:val="24"/>
          <w:szCs w:val="24"/>
        </w:rPr>
      </w:pPr>
      <w:r w:rsidRPr="00A2680F">
        <w:rPr>
          <w:rFonts w:ascii="Garamond" w:hAnsi="Garamond" w:cs="Times New Roman"/>
          <w:sz w:val="24"/>
          <w:szCs w:val="24"/>
        </w:rPr>
        <w:t xml:space="preserve">El 16 de abril de 1796, cuando </w:t>
      </w:r>
      <w:r w:rsidR="003624C5" w:rsidRPr="00A2680F">
        <w:rPr>
          <w:rFonts w:ascii="Garamond" w:hAnsi="Garamond" w:cs="Times New Roman"/>
          <w:sz w:val="24"/>
          <w:szCs w:val="24"/>
        </w:rPr>
        <w:t>el alcalde ordinario</w:t>
      </w:r>
      <w:r w:rsidRPr="00A2680F">
        <w:rPr>
          <w:rFonts w:ascii="Garamond" w:hAnsi="Garamond" w:cs="Times New Roman"/>
          <w:sz w:val="24"/>
          <w:szCs w:val="24"/>
        </w:rPr>
        <w:t>, Francisco Ambrosio Nieto de Paz, preguntó a la filicida el motivo qu</w:t>
      </w:r>
      <w:r w:rsidR="003624C5" w:rsidRPr="00A2680F">
        <w:rPr>
          <w:rFonts w:ascii="Garamond" w:hAnsi="Garamond" w:cs="Times New Roman"/>
          <w:sz w:val="24"/>
          <w:szCs w:val="24"/>
        </w:rPr>
        <w:t>e tuvo para dar muerte a sus</w:t>
      </w:r>
      <w:r w:rsidRPr="00A2680F">
        <w:rPr>
          <w:rFonts w:ascii="Garamond" w:hAnsi="Garamond" w:cs="Times New Roman"/>
          <w:sz w:val="24"/>
          <w:szCs w:val="24"/>
        </w:rPr>
        <w:t xml:space="preserve"> hijas, la mulata expresó:</w:t>
      </w:r>
    </w:p>
    <w:p w14:paraId="6D432F06" w14:textId="3A768083" w:rsidR="00454BD6" w:rsidRPr="00A2680F" w:rsidRDefault="006B6F17" w:rsidP="00A2680F">
      <w:pPr>
        <w:tabs>
          <w:tab w:val="left" w:pos="6394"/>
        </w:tabs>
        <w:spacing w:after="0"/>
        <w:ind w:left="708"/>
        <w:jc w:val="both"/>
        <w:rPr>
          <w:rFonts w:ascii="Garamond" w:hAnsi="Garamond" w:cs="Times New Roman"/>
        </w:rPr>
      </w:pPr>
      <w:r w:rsidRPr="00A2680F">
        <w:rPr>
          <w:rFonts w:ascii="Garamond" w:hAnsi="Garamond" w:cs="Times New Roman"/>
        </w:rPr>
        <w:t>“</w:t>
      </w:r>
      <w:r w:rsidR="00454BD6" w:rsidRPr="00A2680F">
        <w:rPr>
          <w:rFonts w:ascii="Garamond" w:hAnsi="Garamond" w:cs="Times New Roman"/>
        </w:rPr>
        <w:t>[…] que su señora doña María Victoria Plata esposa de su referido amo, las maltrataba mucho con rejo y con palo, siendo la mayor de cinco o seis años y que aunque les decía a sus amos que no les quería servir que le busc</w:t>
      </w:r>
      <w:r w:rsidR="00EB06D3" w:rsidRPr="00A2680F">
        <w:rPr>
          <w:rFonts w:ascii="Garamond" w:hAnsi="Garamond" w:cs="Times New Roman"/>
        </w:rPr>
        <w:t>asen otro para ella y sus hijas</w:t>
      </w:r>
      <w:r w:rsidR="00454BD6" w:rsidRPr="00A2680F">
        <w:rPr>
          <w:rFonts w:ascii="Garamond" w:hAnsi="Garamond" w:cs="Times New Roman"/>
        </w:rPr>
        <w:t xml:space="preserve"> le respondieron que en cuanto les diera el monto de plata que les había costado saldría de su casa; es que este requerimiento les hizo más de cuatro ocasiones, y que la confesante igualmente la castigaban, y que en una de ellas fue colgada y que su amo le</w:t>
      </w:r>
      <w:r w:rsidR="000F45D1" w:rsidRPr="00A2680F">
        <w:rPr>
          <w:rFonts w:ascii="Garamond" w:hAnsi="Garamond" w:cs="Times New Roman"/>
        </w:rPr>
        <w:t xml:space="preserve"> dio unos cuatro o cinco azotes</w:t>
      </w:r>
      <w:r w:rsidRPr="00A2680F">
        <w:rPr>
          <w:rFonts w:ascii="Garamond" w:hAnsi="Garamond" w:cs="Times New Roman"/>
        </w:rPr>
        <w:t>”</w:t>
      </w:r>
      <w:r w:rsidR="00454BD6" w:rsidRPr="00A2680F">
        <w:rPr>
          <w:rStyle w:val="Refdenotaalpie"/>
          <w:rFonts w:ascii="Garamond" w:hAnsi="Garamond" w:cs="Times New Roman"/>
        </w:rPr>
        <w:footnoteReference w:id="54"/>
      </w:r>
      <w:r w:rsidR="0026572D" w:rsidRPr="00A2680F">
        <w:rPr>
          <w:rFonts w:ascii="Garamond" w:hAnsi="Garamond" w:cs="Times New Roman"/>
        </w:rPr>
        <w:t>.</w:t>
      </w:r>
    </w:p>
    <w:p w14:paraId="456FF902" w14:textId="77777777" w:rsidR="00454BD6" w:rsidRPr="00A2680F" w:rsidRDefault="00454BD6" w:rsidP="00A2680F">
      <w:pPr>
        <w:jc w:val="both"/>
        <w:rPr>
          <w:rFonts w:ascii="Garamond" w:hAnsi="Garamond" w:cs="Times New Roman"/>
          <w:sz w:val="24"/>
          <w:szCs w:val="24"/>
        </w:rPr>
      </w:pPr>
    </w:p>
    <w:p w14:paraId="73B09711" w14:textId="3BE9FFE6"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El dolor que en Juan</w:t>
      </w:r>
      <w:r w:rsidR="00D93768" w:rsidRPr="00A2680F">
        <w:rPr>
          <w:rFonts w:ascii="Garamond" w:hAnsi="Garamond" w:cs="Times New Roman"/>
          <w:sz w:val="24"/>
          <w:szCs w:val="24"/>
        </w:rPr>
        <w:t>a María pudo causar el homicidio</w:t>
      </w:r>
      <w:r w:rsidRPr="00A2680F">
        <w:rPr>
          <w:rFonts w:ascii="Garamond" w:hAnsi="Garamond" w:cs="Times New Roman"/>
          <w:sz w:val="24"/>
          <w:szCs w:val="24"/>
        </w:rPr>
        <w:t xml:space="preserve"> de los propios vástagos tuvo como consecuencia enajen</w:t>
      </w:r>
      <w:r w:rsidR="00D93768" w:rsidRPr="00A2680F">
        <w:rPr>
          <w:rFonts w:ascii="Garamond" w:hAnsi="Garamond" w:cs="Times New Roman"/>
          <w:sz w:val="24"/>
          <w:szCs w:val="24"/>
        </w:rPr>
        <w:t>ar a sus dueños</w:t>
      </w:r>
      <w:r w:rsidRPr="00A2680F">
        <w:rPr>
          <w:rFonts w:ascii="Garamond" w:hAnsi="Garamond" w:cs="Times New Roman"/>
          <w:sz w:val="24"/>
          <w:szCs w:val="24"/>
        </w:rPr>
        <w:t xml:space="preserve"> de dos esclavas muy jóvenes</w:t>
      </w:r>
      <w:r w:rsidR="008656EE" w:rsidRPr="00A2680F">
        <w:rPr>
          <w:rFonts w:ascii="Garamond" w:hAnsi="Garamond" w:cs="Times New Roman"/>
          <w:sz w:val="24"/>
          <w:szCs w:val="24"/>
        </w:rPr>
        <w:t xml:space="preserve"> disputándoles el poder que tenían sobre ellas</w:t>
      </w:r>
      <w:r w:rsidRPr="00A2680F">
        <w:rPr>
          <w:rFonts w:ascii="Garamond" w:hAnsi="Garamond" w:cs="Times New Roman"/>
          <w:sz w:val="24"/>
          <w:szCs w:val="24"/>
        </w:rPr>
        <w:t>, objetos valiosos para el futuro servicio de la casa y el mantenimiento de l</w:t>
      </w:r>
      <w:r w:rsidR="00D93768" w:rsidRPr="00A2680F">
        <w:rPr>
          <w:rFonts w:ascii="Garamond" w:hAnsi="Garamond" w:cs="Times New Roman"/>
          <w:sz w:val="24"/>
          <w:szCs w:val="24"/>
        </w:rPr>
        <w:t xml:space="preserve">a posición </w:t>
      </w:r>
      <w:r w:rsidR="0007183A" w:rsidRPr="00A2680F">
        <w:rPr>
          <w:rFonts w:ascii="Garamond" w:hAnsi="Garamond" w:cs="Times New Roman"/>
          <w:sz w:val="24"/>
          <w:szCs w:val="24"/>
        </w:rPr>
        <w:t>social</w:t>
      </w:r>
      <w:r w:rsidR="0026572D" w:rsidRPr="00A2680F">
        <w:rPr>
          <w:rStyle w:val="Refdenotaalpie"/>
          <w:rFonts w:ascii="Garamond" w:hAnsi="Garamond" w:cs="Times New Roman"/>
          <w:sz w:val="24"/>
          <w:szCs w:val="24"/>
        </w:rPr>
        <w:footnoteReference w:id="55"/>
      </w:r>
      <w:r w:rsidR="0007183A" w:rsidRPr="00A2680F">
        <w:rPr>
          <w:rFonts w:ascii="Garamond" w:hAnsi="Garamond" w:cs="Times New Roman"/>
          <w:sz w:val="24"/>
          <w:szCs w:val="24"/>
        </w:rPr>
        <w:t>.</w:t>
      </w:r>
      <w:r w:rsidR="00D93768" w:rsidRPr="00A2680F">
        <w:rPr>
          <w:rFonts w:ascii="Garamond" w:hAnsi="Garamond" w:cs="Times New Roman"/>
          <w:sz w:val="24"/>
          <w:szCs w:val="24"/>
        </w:rPr>
        <w:t xml:space="preserve"> La muerte</w:t>
      </w:r>
      <w:r w:rsidRPr="00A2680F">
        <w:rPr>
          <w:rFonts w:ascii="Garamond" w:hAnsi="Garamond" w:cs="Times New Roman"/>
          <w:sz w:val="24"/>
          <w:szCs w:val="24"/>
        </w:rPr>
        <w:t xml:space="preserve"> de María Mónica y María Eulalia se constituyó</w:t>
      </w:r>
      <w:r w:rsidR="00A24582" w:rsidRPr="00A2680F">
        <w:rPr>
          <w:rFonts w:ascii="Garamond" w:hAnsi="Garamond" w:cs="Times New Roman"/>
          <w:sz w:val="24"/>
          <w:szCs w:val="24"/>
        </w:rPr>
        <w:t xml:space="preserve"> en un rechazo o desafío</w:t>
      </w:r>
      <w:r w:rsidRPr="00A2680F">
        <w:rPr>
          <w:rFonts w:ascii="Garamond" w:hAnsi="Garamond" w:cs="Times New Roman"/>
          <w:sz w:val="24"/>
          <w:szCs w:val="24"/>
        </w:rPr>
        <w:t xml:space="preserve"> a la dominación, fue un golpe bajo no a la esclavitud co</w:t>
      </w:r>
      <w:r w:rsidR="00EB06D3" w:rsidRPr="00A2680F">
        <w:rPr>
          <w:rFonts w:ascii="Garamond" w:hAnsi="Garamond" w:cs="Times New Roman"/>
          <w:sz w:val="24"/>
          <w:szCs w:val="24"/>
        </w:rPr>
        <w:t>mo institución, sino a la dom</w:t>
      </w:r>
      <w:r w:rsidRPr="00A2680F">
        <w:rPr>
          <w:rFonts w:ascii="Garamond" w:hAnsi="Garamond" w:cs="Times New Roman"/>
          <w:sz w:val="24"/>
          <w:szCs w:val="24"/>
        </w:rPr>
        <w:t>inación en particular</w:t>
      </w:r>
      <w:r w:rsidR="00BA08AE" w:rsidRPr="00A2680F">
        <w:rPr>
          <w:rFonts w:ascii="Garamond" w:hAnsi="Garamond" w:cs="Times New Roman"/>
          <w:sz w:val="24"/>
          <w:szCs w:val="24"/>
        </w:rPr>
        <w:t>, es decir, la decisión estuvo motivada para evitar los efectos que a futuro tendría la esclavitud en las dos hijas</w:t>
      </w:r>
      <w:r w:rsidR="0026572D" w:rsidRPr="00A2680F">
        <w:rPr>
          <w:rStyle w:val="Refdenotaalpie"/>
          <w:rFonts w:ascii="Garamond" w:hAnsi="Garamond" w:cs="Times New Roman"/>
          <w:sz w:val="24"/>
          <w:szCs w:val="24"/>
        </w:rPr>
        <w:footnoteReference w:id="56"/>
      </w:r>
      <w:r w:rsidRPr="00A2680F">
        <w:rPr>
          <w:rFonts w:ascii="Garamond" w:hAnsi="Garamond" w:cs="Times New Roman"/>
          <w:sz w:val="24"/>
          <w:szCs w:val="24"/>
        </w:rPr>
        <w:t>.  En palab</w:t>
      </w:r>
      <w:r w:rsidR="00D93768" w:rsidRPr="00A2680F">
        <w:rPr>
          <w:rFonts w:ascii="Garamond" w:hAnsi="Garamond" w:cs="Times New Roman"/>
          <w:sz w:val="24"/>
          <w:szCs w:val="24"/>
        </w:rPr>
        <w:t>ras de James Scott,</w:t>
      </w:r>
      <w:r w:rsidRPr="00A2680F">
        <w:rPr>
          <w:rFonts w:ascii="Garamond" w:hAnsi="Garamond" w:cs="Times New Roman"/>
          <w:sz w:val="24"/>
          <w:szCs w:val="24"/>
        </w:rPr>
        <w:t xml:space="preserve"> </w:t>
      </w:r>
      <w:r w:rsidRPr="00A2680F">
        <w:rPr>
          <w:rFonts w:ascii="Garamond" w:hAnsi="Garamond" w:cs="Times New Roman"/>
          <w:i/>
          <w:iCs/>
          <w:sz w:val="24"/>
          <w:szCs w:val="24"/>
        </w:rPr>
        <w:t xml:space="preserve">“[…] a los regímenes más represivos les corresponde la mayor responsabilidad en las expresiones más violentas de cólera provenientes de las </w:t>
      </w:r>
      <w:r w:rsidRPr="00A2680F">
        <w:rPr>
          <w:rFonts w:ascii="Garamond" w:hAnsi="Garamond" w:cs="Times New Roman"/>
          <w:i/>
          <w:iCs/>
          <w:sz w:val="24"/>
          <w:szCs w:val="24"/>
        </w:rPr>
        <w:lastRenderedPageBreak/>
        <w:t>capas bajas, aunque no sea sino por el hecho de que esos regímenes han logrado elimin</w:t>
      </w:r>
      <w:r w:rsidR="000F45D1" w:rsidRPr="00A2680F">
        <w:rPr>
          <w:rFonts w:ascii="Garamond" w:hAnsi="Garamond" w:cs="Times New Roman"/>
          <w:i/>
          <w:iCs/>
          <w:sz w:val="24"/>
          <w:szCs w:val="24"/>
        </w:rPr>
        <w:t>a</w:t>
      </w:r>
      <w:r w:rsidR="00913C62" w:rsidRPr="00A2680F">
        <w:rPr>
          <w:rFonts w:ascii="Garamond" w:hAnsi="Garamond" w:cs="Times New Roman"/>
          <w:i/>
          <w:iCs/>
          <w:sz w:val="24"/>
          <w:szCs w:val="24"/>
        </w:rPr>
        <w:t>r cualquier forma de expresión”</w:t>
      </w:r>
      <w:r w:rsidR="0026572D" w:rsidRPr="00A2680F">
        <w:rPr>
          <w:rStyle w:val="Refdenotaalpie"/>
          <w:rFonts w:ascii="Garamond" w:hAnsi="Garamond" w:cs="Times New Roman"/>
          <w:i/>
          <w:iCs/>
          <w:sz w:val="24"/>
          <w:szCs w:val="24"/>
        </w:rPr>
        <w:footnoteReference w:id="57"/>
      </w:r>
      <w:r w:rsidR="00913C62" w:rsidRPr="00A2680F">
        <w:rPr>
          <w:rFonts w:ascii="Garamond" w:hAnsi="Garamond" w:cs="Times New Roman"/>
          <w:sz w:val="24"/>
          <w:szCs w:val="24"/>
        </w:rPr>
        <w:t>.</w:t>
      </w:r>
      <w:r w:rsidRPr="00A2680F">
        <w:rPr>
          <w:rFonts w:ascii="Garamond" w:hAnsi="Garamond" w:cs="Times New Roman"/>
          <w:sz w:val="24"/>
          <w:szCs w:val="24"/>
        </w:rPr>
        <w:t xml:space="preserve"> </w:t>
      </w:r>
    </w:p>
    <w:p w14:paraId="6AFF3A4A" w14:textId="77777777" w:rsidR="00316FFC" w:rsidRPr="00A2680F" w:rsidRDefault="00316FFC" w:rsidP="00A2680F">
      <w:pPr>
        <w:jc w:val="both"/>
        <w:rPr>
          <w:rFonts w:ascii="Garamond" w:hAnsi="Garamond" w:cs="Times New Roman"/>
          <w:sz w:val="24"/>
          <w:szCs w:val="24"/>
        </w:rPr>
      </w:pPr>
    </w:p>
    <w:p w14:paraId="58A0631B" w14:textId="514EBF86"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Por otra</w:t>
      </w:r>
      <w:r w:rsidR="00EB06D3" w:rsidRPr="00A2680F">
        <w:rPr>
          <w:rFonts w:ascii="Garamond" w:hAnsi="Garamond" w:cs="Times New Roman"/>
          <w:sz w:val="24"/>
          <w:szCs w:val="24"/>
        </w:rPr>
        <w:t xml:space="preserve"> parte, cabe resaltar que la infantic</w:t>
      </w:r>
      <w:r w:rsidRPr="00A2680F">
        <w:rPr>
          <w:rFonts w:ascii="Garamond" w:hAnsi="Garamond" w:cs="Times New Roman"/>
          <w:sz w:val="24"/>
          <w:szCs w:val="24"/>
        </w:rPr>
        <w:t>ida no ocultó los cadáveres de sus víctimas enterrándolos, sino que los expuso a la vista de sus amos al dejarlos encima de una cerca en el trayecto de la vivienda al pozo de agua</w:t>
      </w:r>
      <w:r w:rsidRPr="00A2680F">
        <w:rPr>
          <w:rStyle w:val="Refdenotaalpie"/>
          <w:rFonts w:ascii="Garamond" w:hAnsi="Garamond" w:cs="Times New Roman"/>
          <w:sz w:val="24"/>
          <w:szCs w:val="24"/>
        </w:rPr>
        <w:footnoteReference w:id="58"/>
      </w:r>
      <w:r w:rsidR="005B70DB" w:rsidRPr="00A2680F">
        <w:rPr>
          <w:rFonts w:ascii="Garamond" w:hAnsi="Garamond" w:cs="Times New Roman"/>
          <w:sz w:val="24"/>
          <w:szCs w:val="24"/>
        </w:rPr>
        <w:t>.</w:t>
      </w:r>
      <w:r w:rsidRPr="00A2680F">
        <w:rPr>
          <w:rFonts w:ascii="Garamond" w:hAnsi="Garamond" w:cs="Times New Roman"/>
          <w:sz w:val="24"/>
          <w:szCs w:val="24"/>
        </w:rPr>
        <w:t xml:space="preserve"> La intención de la mulata fue hacer público el acto frontal de resistencia, causando un fuerte impacto en la dominació</w:t>
      </w:r>
      <w:r w:rsidR="004B3876" w:rsidRPr="00A2680F">
        <w:rPr>
          <w:rFonts w:ascii="Garamond" w:hAnsi="Garamond" w:cs="Times New Roman"/>
          <w:sz w:val="24"/>
          <w:szCs w:val="24"/>
        </w:rPr>
        <w:t>n que sobre ella ejercían sus dueñ</w:t>
      </w:r>
      <w:r w:rsidRPr="00A2680F">
        <w:rPr>
          <w:rFonts w:ascii="Garamond" w:hAnsi="Garamond" w:cs="Times New Roman"/>
          <w:sz w:val="24"/>
          <w:szCs w:val="24"/>
        </w:rPr>
        <w:t>os. Juana María no ocultó los elementos que la delataban, siempre quiso hacer manifiesto un delito que demostraba la agresividad compactada en su interior desde tiempo atrás y que explotó transgrediendo el sometimiento en que se encontraba</w:t>
      </w:r>
      <w:r w:rsidR="00EB06D3" w:rsidRPr="00A2680F">
        <w:rPr>
          <w:rFonts w:ascii="Garamond" w:hAnsi="Garamond" w:cs="Times New Roman"/>
          <w:sz w:val="24"/>
          <w:szCs w:val="24"/>
        </w:rPr>
        <w:t>, llevando sus actos hasta el punto más extremo</w:t>
      </w:r>
      <w:r w:rsidRPr="00A2680F">
        <w:rPr>
          <w:rFonts w:ascii="Garamond" w:hAnsi="Garamond" w:cs="Times New Roman"/>
          <w:sz w:val="24"/>
          <w:szCs w:val="24"/>
        </w:rPr>
        <w:t>.</w:t>
      </w:r>
    </w:p>
    <w:p w14:paraId="37C81856" w14:textId="77777777" w:rsidR="00316FFC" w:rsidRPr="00A2680F" w:rsidRDefault="00316FFC" w:rsidP="00A2680F">
      <w:pPr>
        <w:jc w:val="both"/>
        <w:rPr>
          <w:rFonts w:ascii="Garamond" w:hAnsi="Garamond" w:cs="Times New Roman"/>
          <w:sz w:val="24"/>
          <w:szCs w:val="24"/>
        </w:rPr>
      </w:pPr>
    </w:p>
    <w:p w14:paraId="1C06ED6F" w14:textId="4324798D" w:rsidR="00C438B5" w:rsidRPr="00A2680F" w:rsidRDefault="008D5DB3" w:rsidP="00A2680F">
      <w:pPr>
        <w:jc w:val="both"/>
        <w:rPr>
          <w:rFonts w:ascii="Garamond" w:hAnsi="Garamond" w:cs="Times New Roman"/>
          <w:sz w:val="24"/>
          <w:szCs w:val="24"/>
        </w:rPr>
      </w:pPr>
      <w:r w:rsidRPr="00A2680F">
        <w:rPr>
          <w:rFonts w:ascii="Garamond" w:hAnsi="Garamond" w:cs="Times New Roman"/>
          <w:sz w:val="24"/>
          <w:szCs w:val="24"/>
        </w:rPr>
        <w:t>Así mismo</w:t>
      </w:r>
      <w:r w:rsidR="008F0D0C" w:rsidRPr="00A2680F">
        <w:rPr>
          <w:rFonts w:ascii="Garamond" w:hAnsi="Garamond" w:cs="Times New Roman"/>
          <w:sz w:val="24"/>
          <w:szCs w:val="24"/>
        </w:rPr>
        <w:t>, en este caso se observa cómo la esclava apeló a la</w:t>
      </w:r>
      <w:r w:rsidR="00BB600C" w:rsidRPr="00A2680F">
        <w:rPr>
          <w:rFonts w:ascii="Garamond" w:hAnsi="Garamond" w:cs="Times New Roman"/>
          <w:sz w:val="24"/>
          <w:szCs w:val="24"/>
        </w:rPr>
        <w:t xml:space="preserve"> mediación de la</w:t>
      </w:r>
      <w:r w:rsidR="008F0D0C" w:rsidRPr="00A2680F">
        <w:rPr>
          <w:rFonts w:ascii="Garamond" w:hAnsi="Garamond" w:cs="Times New Roman"/>
          <w:sz w:val="24"/>
          <w:szCs w:val="24"/>
        </w:rPr>
        <w:t xml:space="preserve"> justicia real </w:t>
      </w:r>
      <w:r w:rsidR="003F2C70" w:rsidRPr="00A2680F">
        <w:rPr>
          <w:rFonts w:ascii="Garamond" w:hAnsi="Garamond" w:cs="Times New Roman"/>
          <w:sz w:val="24"/>
          <w:szCs w:val="24"/>
        </w:rPr>
        <w:t>en la búsqueda de</w:t>
      </w:r>
      <w:r w:rsidR="00C438B5" w:rsidRPr="00A2680F">
        <w:rPr>
          <w:rFonts w:ascii="Garamond" w:hAnsi="Garamond" w:cs="Times New Roman"/>
          <w:sz w:val="24"/>
          <w:szCs w:val="24"/>
        </w:rPr>
        <w:t xml:space="preserve"> una</w:t>
      </w:r>
      <w:r w:rsidR="003F2C70" w:rsidRPr="00A2680F">
        <w:rPr>
          <w:rFonts w:ascii="Garamond" w:hAnsi="Garamond" w:cs="Times New Roman"/>
          <w:sz w:val="24"/>
          <w:szCs w:val="24"/>
        </w:rPr>
        <w:t xml:space="preserve"> intervención</w:t>
      </w:r>
      <w:r w:rsidR="00C438B5" w:rsidRPr="00A2680F">
        <w:rPr>
          <w:rFonts w:ascii="Garamond" w:hAnsi="Garamond" w:cs="Times New Roman"/>
          <w:sz w:val="24"/>
          <w:szCs w:val="24"/>
        </w:rPr>
        <w:t xml:space="preserve"> investida con autoridad </w:t>
      </w:r>
      <w:r w:rsidR="00765D06" w:rsidRPr="00A2680F">
        <w:rPr>
          <w:rFonts w:ascii="Garamond" w:hAnsi="Garamond" w:cs="Times New Roman"/>
          <w:sz w:val="24"/>
          <w:szCs w:val="24"/>
        </w:rPr>
        <w:t>para</w:t>
      </w:r>
      <w:r w:rsidR="00BB600C" w:rsidRPr="00A2680F">
        <w:rPr>
          <w:rFonts w:ascii="Garamond" w:hAnsi="Garamond" w:cs="Times New Roman"/>
          <w:sz w:val="24"/>
          <w:szCs w:val="24"/>
        </w:rPr>
        <w:t xml:space="preserve"> </w:t>
      </w:r>
      <w:r w:rsidR="008F0D0C" w:rsidRPr="00A2680F">
        <w:rPr>
          <w:rFonts w:ascii="Garamond" w:hAnsi="Garamond" w:cs="Times New Roman"/>
          <w:sz w:val="24"/>
          <w:szCs w:val="24"/>
        </w:rPr>
        <w:t>defenderse de la punición de su amo</w:t>
      </w:r>
      <w:r w:rsidR="007F337F" w:rsidRPr="00A2680F">
        <w:rPr>
          <w:rFonts w:ascii="Garamond" w:hAnsi="Garamond" w:cs="Times New Roman"/>
          <w:sz w:val="24"/>
          <w:szCs w:val="24"/>
        </w:rPr>
        <w:t>, pues</w:t>
      </w:r>
      <w:r w:rsidR="00F33E40" w:rsidRPr="00A2680F">
        <w:rPr>
          <w:rFonts w:ascii="Garamond" w:hAnsi="Garamond" w:cs="Times New Roman"/>
          <w:sz w:val="24"/>
          <w:szCs w:val="24"/>
        </w:rPr>
        <w:t xml:space="preserve"> sab</w:t>
      </w:r>
      <w:r w:rsidR="008F0D0C" w:rsidRPr="00A2680F">
        <w:rPr>
          <w:rFonts w:ascii="Garamond" w:hAnsi="Garamond" w:cs="Times New Roman"/>
          <w:sz w:val="24"/>
          <w:szCs w:val="24"/>
        </w:rPr>
        <w:t>ía que los jueces la podían amparar bajo la sombra real</w:t>
      </w:r>
      <w:r w:rsidR="00EB633C" w:rsidRPr="00A2680F">
        <w:rPr>
          <w:rFonts w:ascii="Garamond" w:hAnsi="Garamond" w:cs="Times New Roman"/>
          <w:sz w:val="24"/>
          <w:szCs w:val="24"/>
        </w:rPr>
        <w:t>.</w:t>
      </w:r>
      <w:r w:rsidR="008F0D0C" w:rsidRPr="00A2680F">
        <w:rPr>
          <w:rFonts w:ascii="Garamond" w:hAnsi="Garamond" w:cs="Times New Roman"/>
          <w:sz w:val="24"/>
          <w:szCs w:val="24"/>
        </w:rPr>
        <w:t xml:space="preserve"> </w:t>
      </w:r>
      <w:r w:rsidR="00C438B5" w:rsidRPr="00A2680F">
        <w:rPr>
          <w:rFonts w:ascii="Garamond" w:hAnsi="Garamond" w:cs="Times New Roman"/>
          <w:sz w:val="24"/>
          <w:szCs w:val="24"/>
        </w:rPr>
        <w:t xml:space="preserve">Las relaciones de dominación implicaban la </w:t>
      </w:r>
      <w:r w:rsidR="00765D06" w:rsidRPr="00A2680F">
        <w:rPr>
          <w:rFonts w:ascii="Garamond" w:hAnsi="Garamond" w:cs="Times New Roman"/>
          <w:sz w:val="24"/>
          <w:szCs w:val="24"/>
        </w:rPr>
        <w:t>mediación</w:t>
      </w:r>
      <w:r w:rsidR="00C438B5" w:rsidRPr="00A2680F">
        <w:rPr>
          <w:rFonts w:ascii="Garamond" w:hAnsi="Garamond" w:cs="Times New Roman"/>
          <w:sz w:val="24"/>
          <w:szCs w:val="24"/>
        </w:rPr>
        <w:t xml:space="preserve"> de un tercer elemento en la diada que confrontaba a los amos y a la esclava, cuya función era la de </w:t>
      </w:r>
      <w:r w:rsidR="00765D06" w:rsidRPr="00A2680F">
        <w:rPr>
          <w:rFonts w:ascii="Garamond" w:hAnsi="Garamond" w:cs="Times New Roman"/>
          <w:sz w:val="24"/>
          <w:szCs w:val="24"/>
        </w:rPr>
        <w:t>intercede</w:t>
      </w:r>
      <w:r w:rsidR="00C438B5" w:rsidRPr="00A2680F">
        <w:rPr>
          <w:rFonts w:ascii="Garamond" w:hAnsi="Garamond" w:cs="Times New Roman"/>
          <w:sz w:val="24"/>
          <w:szCs w:val="24"/>
        </w:rPr>
        <w:t xml:space="preserve">r e impartir justicia. </w:t>
      </w:r>
      <w:r w:rsidR="00F47F68" w:rsidRPr="00A2680F">
        <w:rPr>
          <w:rFonts w:ascii="Garamond" w:hAnsi="Garamond" w:cs="Times New Roman"/>
          <w:sz w:val="24"/>
          <w:szCs w:val="24"/>
        </w:rPr>
        <w:t>En el siglo XVIII se hizo cada vez más recurrente que los esclavos tuvieran un claro conocimiento de sus derechos básicos</w:t>
      </w:r>
      <w:r w:rsidR="007D06D1" w:rsidRPr="00A2680F">
        <w:rPr>
          <w:rFonts w:ascii="Garamond" w:hAnsi="Garamond" w:cs="Times New Roman"/>
          <w:sz w:val="24"/>
          <w:szCs w:val="24"/>
        </w:rPr>
        <w:t xml:space="preserve"> adquiridos</w:t>
      </w:r>
      <w:r w:rsidR="00F47F68" w:rsidRPr="00A2680F">
        <w:rPr>
          <w:rFonts w:ascii="Garamond" w:hAnsi="Garamond" w:cs="Times New Roman"/>
          <w:sz w:val="24"/>
          <w:szCs w:val="24"/>
        </w:rPr>
        <w:t xml:space="preserve"> </w:t>
      </w:r>
      <w:r w:rsidR="003576B8" w:rsidRPr="00A2680F">
        <w:rPr>
          <w:rFonts w:ascii="Garamond" w:hAnsi="Garamond" w:cs="Times New Roman"/>
          <w:sz w:val="24"/>
          <w:szCs w:val="24"/>
        </w:rPr>
        <w:t>(</w:t>
      </w:r>
      <w:r w:rsidR="00F47F68" w:rsidRPr="00A2680F">
        <w:rPr>
          <w:rFonts w:ascii="Garamond" w:hAnsi="Garamond" w:cs="Times New Roman"/>
          <w:sz w:val="24"/>
          <w:szCs w:val="24"/>
        </w:rPr>
        <w:t>cuidado</w:t>
      </w:r>
      <w:r w:rsidR="003576B8" w:rsidRPr="00A2680F">
        <w:rPr>
          <w:rFonts w:ascii="Garamond" w:hAnsi="Garamond" w:cs="Times New Roman"/>
          <w:sz w:val="24"/>
          <w:szCs w:val="24"/>
        </w:rPr>
        <w:t xml:space="preserve"> y alimentación)</w:t>
      </w:r>
      <w:r w:rsidR="00F47F68" w:rsidRPr="00A2680F">
        <w:rPr>
          <w:rFonts w:ascii="Garamond" w:hAnsi="Garamond" w:cs="Times New Roman"/>
          <w:sz w:val="24"/>
          <w:szCs w:val="24"/>
        </w:rPr>
        <w:t xml:space="preserve"> y de queja ante las autoridades </w:t>
      </w:r>
      <w:r w:rsidR="003F7EA8" w:rsidRPr="00A2680F">
        <w:rPr>
          <w:rFonts w:ascii="Garamond" w:hAnsi="Garamond" w:cs="Times New Roman"/>
          <w:sz w:val="24"/>
          <w:szCs w:val="24"/>
        </w:rPr>
        <w:t>para buscar el amparo real</w:t>
      </w:r>
      <w:r w:rsidR="005B70DB" w:rsidRPr="00A2680F">
        <w:rPr>
          <w:rStyle w:val="Refdenotaalpie"/>
          <w:rFonts w:ascii="Garamond" w:hAnsi="Garamond" w:cs="Times New Roman"/>
          <w:sz w:val="24"/>
          <w:szCs w:val="24"/>
        </w:rPr>
        <w:footnoteReference w:id="59"/>
      </w:r>
      <w:r w:rsidR="00F47F68" w:rsidRPr="00A2680F">
        <w:rPr>
          <w:rFonts w:ascii="Garamond" w:hAnsi="Garamond" w:cs="Times New Roman"/>
          <w:sz w:val="24"/>
          <w:szCs w:val="24"/>
        </w:rPr>
        <w:t xml:space="preserve">. Al respecto, </w:t>
      </w:r>
      <w:r w:rsidR="00C438B5" w:rsidRPr="00A2680F">
        <w:rPr>
          <w:rFonts w:ascii="Garamond" w:hAnsi="Garamond" w:cs="Times New Roman"/>
          <w:sz w:val="24"/>
          <w:szCs w:val="24"/>
        </w:rPr>
        <w:t xml:space="preserve">Simmel menciona que la autoridad está implícita en las relaciones de dominación, lo cual no excluye la posibilidad de la libertad del sometido. La esencia de quien ejerce autoridad consiste en que decide con seguridad y poder de obligatorio cumplimiento, bien sea por su personalidad que inspira confianza y valor hasta el punto que sus opiniones tienen carácter de instancia objetiva, o porque la autoridad </w:t>
      </w:r>
      <w:r w:rsidR="00BC35DC" w:rsidRPr="00A2680F">
        <w:rPr>
          <w:rFonts w:ascii="Garamond" w:hAnsi="Garamond" w:cs="Times New Roman"/>
          <w:sz w:val="24"/>
          <w:szCs w:val="24"/>
        </w:rPr>
        <w:t xml:space="preserve">que </w:t>
      </w:r>
      <w:r w:rsidR="00C438B5" w:rsidRPr="00A2680F">
        <w:rPr>
          <w:rFonts w:ascii="Garamond" w:hAnsi="Garamond" w:cs="Times New Roman"/>
          <w:sz w:val="24"/>
          <w:szCs w:val="24"/>
        </w:rPr>
        <w:t>reposa en</w:t>
      </w:r>
      <w:r w:rsidR="00765D06" w:rsidRPr="00A2680F">
        <w:rPr>
          <w:rFonts w:ascii="Garamond" w:hAnsi="Garamond" w:cs="Times New Roman"/>
          <w:sz w:val="24"/>
          <w:szCs w:val="24"/>
        </w:rPr>
        <w:t xml:space="preserve"> sí</w:t>
      </w:r>
      <w:r w:rsidR="00C438B5" w:rsidRPr="00A2680F">
        <w:rPr>
          <w:rFonts w:ascii="Garamond" w:hAnsi="Garamond" w:cs="Times New Roman"/>
          <w:sz w:val="24"/>
          <w:szCs w:val="24"/>
        </w:rPr>
        <w:t xml:space="preserve"> ha sido conferida desde arriba</w:t>
      </w:r>
      <w:r w:rsidR="005B70DB" w:rsidRPr="00A2680F">
        <w:rPr>
          <w:rStyle w:val="Refdenotaalpie"/>
          <w:rFonts w:ascii="Garamond" w:hAnsi="Garamond" w:cs="Times New Roman"/>
          <w:sz w:val="24"/>
          <w:szCs w:val="24"/>
        </w:rPr>
        <w:footnoteReference w:id="60"/>
      </w:r>
      <w:r w:rsidR="00C438B5" w:rsidRPr="00A2680F">
        <w:rPr>
          <w:rFonts w:ascii="Garamond" w:hAnsi="Garamond" w:cs="Times New Roman"/>
          <w:sz w:val="24"/>
          <w:szCs w:val="24"/>
        </w:rPr>
        <w:t xml:space="preserve">. </w:t>
      </w:r>
    </w:p>
    <w:p w14:paraId="30CF34E2" w14:textId="77777777" w:rsidR="00316FFC" w:rsidRPr="00A2680F" w:rsidRDefault="00316FFC" w:rsidP="00A2680F">
      <w:pPr>
        <w:jc w:val="both"/>
        <w:rPr>
          <w:rFonts w:ascii="Garamond" w:hAnsi="Garamond" w:cs="Times New Roman"/>
          <w:sz w:val="24"/>
          <w:szCs w:val="24"/>
        </w:rPr>
      </w:pPr>
    </w:p>
    <w:p w14:paraId="50CF8102" w14:textId="6822C5E3" w:rsidR="004553BA" w:rsidRPr="00A2680F" w:rsidRDefault="00EB633C" w:rsidP="00A2680F">
      <w:pPr>
        <w:jc w:val="both"/>
        <w:rPr>
          <w:rFonts w:ascii="Garamond" w:hAnsi="Garamond" w:cs="Times New Roman"/>
          <w:sz w:val="24"/>
          <w:szCs w:val="24"/>
        </w:rPr>
      </w:pPr>
      <w:r w:rsidRPr="00A2680F">
        <w:rPr>
          <w:rFonts w:ascii="Garamond" w:hAnsi="Garamond" w:cs="Times New Roman"/>
          <w:sz w:val="24"/>
          <w:szCs w:val="24"/>
        </w:rPr>
        <w:t>Los esclavos conocían que más allá del poder y control de sus amos, había un</w:t>
      </w:r>
      <w:r w:rsidR="007F337F" w:rsidRPr="00A2680F">
        <w:rPr>
          <w:rFonts w:ascii="Garamond" w:hAnsi="Garamond" w:cs="Times New Roman"/>
          <w:sz w:val="24"/>
          <w:szCs w:val="24"/>
        </w:rPr>
        <w:t>a estructura judicial y un</w:t>
      </w:r>
      <w:r w:rsidRPr="00A2680F">
        <w:rPr>
          <w:rFonts w:ascii="Garamond" w:hAnsi="Garamond" w:cs="Times New Roman"/>
          <w:sz w:val="24"/>
          <w:szCs w:val="24"/>
        </w:rPr>
        <w:t xml:space="preserve"> conjunto de oficiales</w:t>
      </w:r>
      <w:r w:rsidR="00707B17" w:rsidRPr="00A2680F">
        <w:rPr>
          <w:rFonts w:ascii="Garamond" w:hAnsi="Garamond" w:cs="Times New Roman"/>
          <w:sz w:val="24"/>
          <w:szCs w:val="24"/>
        </w:rPr>
        <w:t xml:space="preserve"> en los ayuntamient</w:t>
      </w:r>
      <w:r w:rsidR="00F33E40" w:rsidRPr="00A2680F">
        <w:rPr>
          <w:rFonts w:ascii="Garamond" w:hAnsi="Garamond" w:cs="Times New Roman"/>
          <w:sz w:val="24"/>
          <w:szCs w:val="24"/>
        </w:rPr>
        <w:t>os</w:t>
      </w:r>
      <w:r w:rsidR="00707B17" w:rsidRPr="00A2680F">
        <w:rPr>
          <w:rFonts w:ascii="Garamond" w:hAnsi="Garamond" w:cs="Times New Roman"/>
          <w:sz w:val="24"/>
          <w:szCs w:val="24"/>
        </w:rPr>
        <w:t xml:space="preserve"> de ciudades y villas</w:t>
      </w:r>
      <w:r w:rsidRPr="00A2680F">
        <w:rPr>
          <w:rFonts w:ascii="Garamond" w:hAnsi="Garamond" w:cs="Times New Roman"/>
          <w:sz w:val="24"/>
          <w:szCs w:val="24"/>
        </w:rPr>
        <w:t xml:space="preserve"> </w:t>
      </w:r>
      <w:r w:rsidR="00707B17" w:rsidRPr="00A2680F">
        <w:rPr>
          <w:rFonts w:ascii="Garamond" w:hAnsi="Garamond" w:cs="Times New Roman"/>
          <w:sz w:val="24"/>
          <w:szCs w:val="24"/>
        </w:rPr>
        <w:t>que representaban e impartían justicia</w:t>
      </w:r>
      <w:r w:rsidR="007F337F" w:rsidRPr="00A2680F">
        <w:rPr>
          <w:rFonts w:ascii="Garamond" w:hAnsi="Garamond" w:cs="Times New Roman"/>
          <w:sz w:val="24"/>
          <w:szCs w:val="24"/>
        </w:rPr>
        <w:t xml:space="preserve"> a nombre del rey</w:t>
      </w:r>
      <w:r w:rsidR="00C438B5" w:rsidRPr="00A2680F">
        <w:rPr>
          <w:rFonts w:ascii="Garamond" w:hAnsi="Garamond" w:cs="Times New Roman"/>
          <w:sz w:val="24"/>
          <w:szCs w:val="24"/>
        </w:rPr>
        <w:t>, como los alcaldes ordinarios, los protectores de pobres y los protectores de esclavos</w:t>
      </w:r>
      <w:r w:rsidR="007F337F" w:rsidRPr="00A2680F">
        <w:rPr>
          <w:rFonts w:ascii="Garamond" w:hAnsi="Garamond" w:cs="Times New Roman"/>
          <w:sz w:val="24"/>
          <w:szCs w:val="24"/>
        </w:rPr>
        <w:t>. Así pues,</w:t>
      </w:r>
      <w:r w:rsidRPr="00A2680F">
        <w:rPr>
          <w:rFonts w:ascii="Garamond" w:hAnsi="Garamond" w:cs="Times New Roman"/>
          <w:sz w:val="24"/>
          <w:szCs w:val="24"/>
        </w:rPr>
        <w:t xml:space="preserve"> acu</w:t>
      </w:r>
      <w:r w:rsidR="007F337F" w:rsidRPr="00A2680F">
        <w:rPr>
          <w:rFonts w:ascii="Garamond" w:hAnsi="Garamond" w:cs="Times New Roman"/>
          <w:sz w:val="24"/>
          <w:szCs w:val="24"/>
        </w:rPr>
        <w:t>dían a las instancias que la Corona ofrecía</w:t>
      </w:r>
      <w:r w:rsidRPr="00A2680F">
        <w:rPr>
          <w:rFonts w:ascii="Garamond" w:hAnsi="Garamond" w:cs="Times New Roman"/>
          <w:sz w:val="24"/>
          <w:szCs w:val="24"/>
        </w:rPr>
        <w:t xml:space="preserve"> como medio para </w:t>
      </w:r>
      <w:r w:rsidR="007A4261" w:rsidRPr="00A2680F">
        <w:rPr>
          <w:rFonts w:ascii="Garamond" w:hAnsi="Garamond" w:cs="Times New Roman"/>
          <w:sz w:val="24"/>
          <w:szCs w:val="24"/>
        </w:rPr>
        <w:t xml:space="preserve">resolver las tensiones con sus amos y </w:t>
      </w:r>
      <w:r w:rsidRPr="00A2680F">
        <w:rPr>
          <w:rFonts w:ascii="Garamond" w:hAnsi="Garamond" w:cs="Times New Roman"/>
          <w:sz w:val="24"/>
          <w:szCs w:val="24"/>
        </w:rPr>
        <w:t>defender sus</w:t>
      </w:r>
      <w:r w:rsidR="007F337F" w:rsidRPr="00A2680F">
        <w:rPr>
          <w:rFonts w:ascii="Garamond" w:hAnsi="Garamond" w:cs="Times New Roman"/>
          <w:sz w:val="24"/>
          <w:szCs w:val="24"/>
        </w:rPr>
        <w:t xml:space="preserve"> supuestos</w:t>
      </w:r>
      <w:r w:rsidRPr="00A2680F">
        <w:rPr>
          <w:rFonts w:ascii="Garamond" w:hAnsi="Garamond" w:cs="Times New Roman"/>
          <w:sz w:val="24"/>
          <w:szCs w:val="24"/>
        </w:rPr>
        <w:t xml:space="preserve"> derec</w:t>
      </w:r>
      <w:r w:rsidR="00707B17" w:rsidRPr="00A2680F">
        <w:rPr>
          <w:rFonts w:ascii="Garamond" w:hAnsi="Garamond" w:cs="Times New Roman"/>
          <w:sz w:val="24"/>
          <w:szCs w:val="24"/>
        </w:rPr>
        <w:t>hos</w:t>
      </w:r>
      <w:r w:rsidR="007F337F" w:rsidRPr="00A2680F">
        <w:rPr>
          <w:rFonts w:ascii="Garamond" w:hAnsi="Garamond" w:cs="Times New Roman"/>
          <w:sz w:val="24"/>
          <w:szCs w:val="24"/>
        </w:rPr>
        <w:t xml:space="preserve"> adquiridos desde </w:t>
      </w:r>
      <w:r w:rsidR="007F337F" w:rsidRPr="00A2680F">
        <w:rPr>
          <w:rFonts w:ascii="Garamond" w:hAnsi="Garamond" w:cs="Times New Roman"/>
          <w:sz w:val="24"/>
          <w:szCs w:val="24"/>
        </w:rPr>
        <w:lastRenderedPageBreak/>
        <w:t>hacía años, respetados por “costumbre”</w:t>
      </w:r>
      <w:r w:rsidRPr="00A2680F">
        <w:rPr>
          <w:rFonts w:ascii="Garamond" w:hAnsi="Garamond" w:cs="Times New Roman"/>
          <w:sz w:val="24"/>
          <w:szCs w:val="24"/>
        </w:rPr>
        <w:t>.</w:t>
      </w:r>
      <w:r w:rsidR="003F2C70" w:rsidRPr="00A2680F">
        <w:rPr>
          <w:rFonts w:ascii="Garamond" w:hAnsi="Garamond" w:cs="Times New Roman"/>
          <w:sz w:val="24"/>
          <w:szCs w:val="24"/>
        </w:rPr>
        <w:t xml:space="preserve"> Más aún, </w:t>
      </w:r>
      <w:r w:rsidR="007F337F" w:rsidRPr="00A2680F">
        <w:rPr>
          <w:rFonts w:ascii="Garamond" w:hAnsi="Garamond" w:cs="Times New Roman"/>
          <w:sz w:val="24"/>
          <w:szCs w:val="24"/>
        </w:rPr>
        <w:t>algunos esclavos conocían el sistema jurídico hispánico y lo usaron a su favor</w:t>
      </w:r>
      <w:r w:rsidR="002632C8" w:rsidRPr="00A2680F">
        <w:rPr>
          <w:rStyle w:val="Refdenotaalpie"/>
          <w:rFonts w:ascii="Garamond" w:hAnsi="Garamond" w:cs="Times New Roman"/>
          <w:sz w:val="24"/>
          <w:szCs w:val="24"/>
        </w:rPr>
        <w:footnoteReference w:id="61"/>
      </w:r>
      <w:r w:rsidR="007F337F" w:rsidRPr="00A2680F">
        <w:rPr>
          <w:rFonts w:ascii="Garamond" w:hAnsi="Garamond" w:cs="Times New Roman"/>
          <w:sz w:val="24"/>
          <w:szCs w:val="24"/>
        </w:rPr>
        <w:t>.</w:t>
      </w:r>
      <w:r w:rsidR="00C438B5" w:rsidRPr="00A2680F">
        <w:rPr>
          <w:rFonts w:ascii="Garamond" w:hAnsi="Garamond" w:cs="Times New Roman"/>
          <w:sz w:val="24"/>
          <w:szCs w:val="24"/>
        </w:rPr>
        <w:t xml:space="preserve"> El hecho de no exponer el cuerpo al látigo de la dominación era una forma de resistencia, por ende, en cierta medida Juana María debió conocer sobre la protección jurídica ofrecida por los tribunales, y gracias a sus habilidades logró algún grado de amparo</w:t>
      </w:r>
      <w:r w:rsidR="0009449C" w:rsidRPr="00A2680F">
        <w:rPr>
          <w:rStyle w:val="Refdenotaalpie"/>
          <w:rFonts w:ascii="Garamond" w:hAnsi="Garamond" w:cs="Times New Roman"/>
          <w:sz w:val="24"/>
          <w:szCs w:val="24"/>
        </w:rPr>
        <w:footnoteReference w:id="62"/>
      </w:r>
      <w:r w:rsidR="00C438B5" w:rsidRPr="00A2680F">
        <w:rPr>
          <w:rFonts w:ascii="Garamond" w:hAnsi="Garamond" w:cs="Times New Roman"/>
          <w:sz w:val="24"/>
          <w:szCs w:val="24"/>
        </w:rPr>
        <w:t>.</w:t>
      </w:r>
      <w:r w:rsidR="007F337F" w:rsidRPr="00A2680F">
        <w:rPr>
          <w:rFonts w:ascii="Garamond" w:hAnsi="Garamond" w:cs="Times New Roman"/>
          <w:sz w:val="24"/>
          <w:szCs w:val="24"/>
        </w:rPr>
        <w:t xml:space="preserve"> A</w:t>
      </w:r>
      <w:r w:rsidR="003F2C70" w:rsidRPr="00A2680F">
        <w:rPr>
          <w:rFonts w:ascii="Garamond" w:hAnsi="Garamond" w:cs="Times New Roman"/>
          <w:sz w:val="24"/>
          <w:szCs w:val="24"/>
        </w:rPr>
        <w:t>lgunos cautivos cometieron delitos como el homicidio (incluyendo el infanticidio) como mecanismo para escapar de la sevicia</w:t>
      </w:r>
      <w:r w:rsidR="00113C25" w:rsidRPr="00A2680F">
        <w:rPr>
          <w:rFonts w:ascii="Garamond" w:hAnsi="Garamond" w:cs="Times New Roman"/>
          <w:sz w:val="24"/>
          <w:szCs w:val="24"/>
        </w:rPr>
        <w:t>, del aislamiento</w:t>
      </w:r>
      <w:r w:rsidR="00AB1F7F" w:rsidRPr="00A2680F">
        <w:rPr>
          <w:rFonts w:ascii="Garamond" w:hAnsi="Garamond" w:cs="Times New Roman"/>
          <w:sz w:val="24"/>
          <w:szCs w:val="24"/>
        </w:rPr>
        <w:t xml:space="preserve"> y buscar que</w:t>
      </w:r>
      <w:r w:rsidR="003F2C70" w:rsidRPr="00A2680F">
        <w:rPr>
          <w:rFonts w:ascii="Garamond" w:hAnsi="Garamond" w:cs="Times New Roman"/>
          <w:sz w:val="24"/>
          <w:szCs w:val="24"/>
        </w:rPr>
        <w:t xml:space="preserve"> la justicia real </w:t>
      </w:r>
      <w:r w:rsidR="00AB1F7F" w:rsidRPr="00A2680F">
        <w:rPr>
          <w:rFonts w:ascii="Garamond" w:hAnsi="Garamond" w:cs="Times New Roman"/>
          <w:sz w:val="24"/>
          <w:szCs w:val="24"/>
        </w:rPr>
        <w:t>los escuchara sobre</w:t>
      </w:r>
      <w:r w:rsidR="003F2C70" w:rsidRPr="00A2680F">
        <w:rPr>
          <w:rFonts w:ascii="Garamond" w:hAnsi="Garamond" w:cs="Times New Roman"/>
          <w:sz w:val="24"/>
          <w:szCs w:val="24"/>
        </w:rPr>
        <w:t xml:space="preserve"> su precaria situación</w:t>
      </w:r>
      <w:r w:rsidR="00AB1F7F" w:rsidRPr="00A2680F">
        <w:rPr>
          <w:rFonts w:ascii="Garamond" w:hAnsi="Garamond" w:cs="Times New Roman"/>
          <w:sz w:val="24"/>
          <w:szCs w:val="24"/>
        </w:rPr>
        <w:t xml:space="preserve"> y evitara hechos más graves</w:t>
      </w:r>
      <w:r w:rsidR="0009449C" w:rsidRPr="00A2680F">
        <w:rPr>
          <w:rStyle w:val="Refdenotaalpie"/>
          <w:rFonts w:ascii="Garamond" w:hAnsi="Garamond" w:cs="Times New Roman"/>
          <w:sz w:val="24"/>
          <w:szCs w:val="24"/>
        </w:rPr>
        <w:footnoteReference w:id="63"/>
      </w:r>
      <w:r w:rsidR="003F2C70" w:rsidRPr="00A2680F">
        <w:rPr>
          <w:rFonts w:ascii="Garamond" w:hAnsi="Garamond" w:cs="Times New Roman"/>
          <w:sz w:val="24"/>
          <w:szCs w:val="24"/>
        </w:rPr>
        <w:t xml:space="preserve">. </w:t>
      </w:r>
      <w:r w:rsidR="006221DB" w:rsidRPr="00A2680F">
        <w:rPr>
          <w:rFonts w:ascii="Garamond" w:hAnsi="Garamond" w:cs="Times New Roman"/>
          <w:sz w:val="24"/>
          <w:szCs w:val="24"/>
        </w:rPr>
        <w:t xml:space="preserve">Más aún, como se puede observar por otros estudios, preferían ir a la cárcel o ser ajusticiados </w:t>
      </w:r>
      <w:r w:rsidR="005B4BBC" w:rsidRPr="00A2680F">
        <w:rPr>
          <w:rFonts w:ascii="Garamond" w:hAnsi="Garamond" w:cs="Times New Roman"/>
          <w:sz w:val="24"/>
          <w:szCs w:val="24"/>
        </w:rPr>
        <w:t>como medida que detuviera sus</w:t>
      </w:r>
      <w:r w:rsidR="006221DB" w:rsidRPr="00A2680F">
        <w:rPr>
          <w:rFonts w:ascii="Garamond" w:hAnsi="Garamond" w:cs="Times New Roman"/>
          <w:sz w:val="24"/>
          <w:szCs w:val="24"/>
        </w:rPr>
        <w:t xml:space="preserve"> padeci</w:t>
      </w:r>
      <w:r w:rsidR="005B4BBC" w:rsidRPr="00A2680F">
        <w:rPr>
          <w:rFonts w:ascii="Garamond" w:hAnsi="Garamond" w:cs="Times New Roman"/>
          <w:sz w:val="24"/>
          <w:szCs w:val="24"/>
        </w:rPr>
        <w:t>mientos al lado de sus amos</w:t>
      </w:r>
      <w:r w:rsidR="007F679D" w:rsidRPr="00A2680F">
        <w:rPr>
          <w:rStyle w:val="Refdenotaalpie"/>
          <w:rFonts w:ascii="Garamond" w:hAnsi="Garamond" w:cs="Times New Roman"/>
          <w:sz w:val="24"/>
          <w:szCs w:val="24"/>
        </w:rPr>
        <w:footnoteReference w:id="64"/>
      </w:r>
      <w:r w:rsidR="006221DB" w:rsidRPr="00A2680F">
        <w:rPr>
          <w:rFonts w:ascii="Garamond" w:hAnsi="Garamond" w:cs="Times New Roman"/>
          <w:sz w:val="24"/>
          <w:szCs w:val="24"/>
        </w:rPr>
        <w:t xml:space="preserve">. </w:t>
      </w:r>
      <w:r w:rsidR="00570389" w:rsidRPr="00A2680F">
        <w:rPr>
          <w:rFonts w:ascii="Garamond" w:hAnsi="Garamond" w:cs="Times New Roman"/>
          <w:sz w:val="24"/>
          <w:szCs w:val="24"/>
        </w:rPr>
        <w:t xml:space="preserve"> </w:t>
      </w:r>
    </w:p>
    <w:p w14:paraId="00D7B034" w14:textId="77777777" w:rsidR="00316FFC" w:rsidRPr="00A2680F" w:rsidRDefault="00316FFC" w:rsidP="00A2680F">
      <w:pPr>
        <w:jc w:val="both"/>
        <w:rPr>
          <w:rFonts w:ascii="Garamond" w:hAnsi="Garamond" w:cs="Times New Roman"/>
          <w:sz w:val="24"/>
          <w:szCs w:val="24"/>
        </w:rPr>
      </w:pPr>
    </w:p>
    <w:p w14:paraId="439500B8" w14:textId="65E1F030" w:rsidR="008D5DB3" w:rsidRPr="00A2680F" w:rsidRDefault="008D5DB3" w:rsidP="00A2680F">
      <w:pPr>
        <w:jc w:val="both"/>
        <w:rPr>
          <w:rFonts w:ascii="Garamond" w:hAnsi="Garamond" w:cs="Times New Roman"/>
          <w:sz w:val="24"/>
          <w:szCs w:val="24"/>
        </w:rPr>
      </w:pPr>
      <w:r w:rsidRPr="00A2680F">
        <w:rPr>
          <w:rFonts w:ascii="Garamond" w:hAnsi="Garamond" w:cs="Times New Roman"/>
          <w:sz w:val="24"/>
          <w:szCs w:val="24"/>
        </w:rPr>
        <w:t xml:space="preserve">El caso pasó a la Real Audiencia de Santafé como instancia superior de la administración de justicia en los reinos hispánicos en América. </w:t>
      </w:r>
      <w:r w:rsidR="00525719" w:rsidRPr="00A2680F">
        <w:rPr>
          <w:rFonts w:ascii="Garamond" w:hAnsi="Garamond" w:cs="Times New Roman"/>
          <w:sz w:val="24"/>
          <w:szCs w:val="24"/>
        </w:rPr>
        <w:t>E</w:t>
      </w:r>
      <w:r w:rsidRPr="00A2680F">
        <w:rPr>
          <w:rFonts w:ascii="Garamond" w:hAnsi="Garamond" w:cs="Times New Roman"/>
          <w:sz w:val="24"/>
          <w:szCs w:val="24"/>
        </w:rPr>
        <w:t xml:space="preserve">l fiscal y el protector de esclavos encontraron inconsistencias en la forma como se llevó el juzgamiento de Juana María, pues señalaron la proclividad de los jueces locales a burlar el curso del proceso. Por lo tanto, </w:t>
      </w:r>
      <w:r w:rsidRPr="00A2680F">
        <w:rPr>
          <w:rFonts w:ascii="Garamond" w:hAnsi="Garamond" w:cs="Times New Roman"/>
          <w:i/>
          <w:iCs/>
          <w:sz w:val="24"/>
          <w:szCs w:val="24"/>
        </w:rPr>
        <w:t>“[…] los que han sido alcaldes desde el año de mil setecientos noventa y seis, hasta el de ochocientos cuatro excluyendo el que lo fue en el de ochocientos uno, se les condena en veinte y cinco pesos de multa a cada uno como también al que se nombró de fiscal, y al escribano, y líbrese orden al corregidor de la provincia para la exacción y remisión de las multas”</w:t>
      </w:r>
      <w:r w:rsidRPr="00A2680F">
        <w:rPr>
          <w:rStyle w:val="Refdenotaalpie"/>
          <w:rFonts w:ascii="Garamond" w:hAnsi="Garamond" w:cs="Times New Roman"/>
          <w:sz w:val="24"/>
          <w:szCs w:val="24"/>
        </w:rPr>
        <w:footnoteReference w:id="65"/>
      </w:r>
      <w:r w:rsidR="00E10594" w:rsidRPr="00A2680F">
        <w:rPr>
          <w:rFonts w:ascii="Garamond" w:hAnsi="Garamond" w:cs="Times New Roman"/>
          <w:i/>
          <w:iCs/>
          <w:sz w:val="24"/>
          <w:szCs w:val="24"/>
        </w:rPr>
        <w:t>.</w:t>
      </w:r>
      <w:r w:rsidRPr="00A2680F">
        <w:rPr>
          <w:rFonts w:ascii="Garamond" w:hAnsi="Garamond" w:cs="Times New Roman"/>
          <w:sz w:val="24"/>
          <w:szCs w:val="24"/>
        </w:rPr>
        <w:t xml:space="preserve"> Precisamente, durante las últimas décadas del siglo XVIII se hizo evidente una actitud favorable de algunos jueces y abogados de las Audiencias hacia los reclamos de los esclavos, lo cual se reflejó en una mayor capacidad legal del cautivo</w:t>
      </w:r>
      <w:r w:rsidR="00343EE9" w:rsidRPr="00A2680F">
        <w:rPr>
          <w:rFonts w:ascii="Garamond" w:hAnsi="Garamond" w:cs="Times New Roman"/>
          <w:sz w:val="24"/>
          <w:szCs w:val="24"/>
        </w:rPr>
        <w:t xml:space="preserve"> promovida por el reformismo borbónico</w:t>
      </w:r>
      <w:r w:rsidRPr="00A2680F">
        <w:rPr>
          <w:rFonts w:ascii="Garamond" w:hAnsi="Garamond" w:cs="Times New Roman"/>
          <w:sz w:val="24"/>
          <w:szCs w:val="24"/>
        </w:rPr>
        <w:t xml:space="preserve"> para obtener sentencias a su favor</w:t>
      </w:r>
      <w:r w:rsidR="00EB5AD2" w:rsidRPr="00A2680F">
        <w:rPr>
          <w:rFonts w:ascii="Garamond" w:hAnsi="Garamond" w:cs="Times New Roman"/>
          <w:sz w:val="24"/>
          <w:szCs w:val="24"/>
        </w:rPr>
        <w:t xml:space="preserve"> en la mejora de sus condiciones de vida o su libertad</w:t>
      </w:r>
      <w:r w:rsidR="00E10594" w:rsidRPr="00A2680F">
        <w:rPr>
          <w:rStyle w:val="Refdenotaalpie"/>
          <w:rFonts w:ascii="Garamond" w:hAnsi="Garamond" w:cs="Times New Roman"/>
          <w:sz w:val="24"/>
          <w:szCs w:val="24"/>
        </w:rPr>
        <w:footnoteReference w:id="66"/>
      </w:r>
      <w:r w:rsidRPr="00A2680F">
        <w:rPr>
          <w:rFonts w:ascii="Garamond" w:hAnsi="Garamond" w:cs="Times New Roman"/>
          <w:sz w:val="24"/>
          <w:szCs w:val="24"/>
        </w:rPr>
        <w:t>.</w:t>
      </w:r>
    </w:p>
    <w:p w14:paraId="46496843" w14:textId="77777777" w:rsidR="008D5DB3" w:rsidRPr="00A2680F" w:rsidRDefault="008D5DB3" w:rsidP="00A2680F">
      <w:pPr>
        <w:jc w:val="both"/>
        <w:rPr>
          <w:rFonts w:ascii="Garamond" w:hAnsi="Garamond" w:cs="Times New Roman"/>
          <w:sz w:val="24"/>
          <w:szCs w:val="24"/>
        </w:rPr>
      </w:pPr>
    </w:p>
    <w:p w14:paraId="0931AEE1" w14:textId="77777777" w:rsidR="00D44F8E" w:rsidRPr="00A2680F" w:rsidRDefault="00EC675D" w:rsidP="00A2680F">
      <w:pPr>
        <w:jc w:val="both"/>
        <w:rPr>
          <w:rFonts w:ascii="Garamond" w:hAnsi="Garamond" w:cs="Times New Roman"/>
          <w:b/>
          <w:bCs/>
          <w:sz w:val="24"/>
          <w:szCs w:val="24"/>
        </w:rPr>
      </w:pPr>
      <w:r w:rsidRPr="00A2680F">
        <w:rPr>
          <w:rFonts w:ascii="Garamond" w:hAnsi="Garamond" w:cs="Times New Roman"/>
          <w:b/>
          <w:bCs/>
          <w:sz w:val="24"/>
          <w:szCs w:val="24"/>
        </w:rPr>
        <w:t>3</w:t>
      </w:r>
      <w:r w:rsidR="00D44F8E" w:rsidRPr="00A2680F">
        <w:rPr>
          <w:rFonts w:ascii="Garamond" w:hAnsi="Garamond" w:cs="Times New Roman"/>
          <w:b/>
          <w:bCs/>
          <w:sz w:val="24"/>
          <w:szCs w:val="24"/>
        </w:rPr>
        <w:t xml:space="preserve">. </w:t>
      </w:r>
      <w:r w:rsidR="00940654" w:rsidRPr="00A2680F">
        <w:rPr>
          <w:rFonts w:ascii="Garamond" w:hAnsi="Garamond" w:cs="Times New Roman"/>
          <w:b/>
          <w:bCs/>
          <w:sz w:val="24"/>
          <w:szCs w:val="24"/>
        </w:rPr>
        <w:t>E</w:t>
      </w:r>
      <w:r w:rsidR="00D44F8E" w:rsidRPr="00A2680F">
        <w:rPr>
          <w:rFonts w:ascii="Garamond" w:hAnsi="Garamond" w:cs="Times New Roman"/>
          <w:b/>
          <w:bCs/>
          <w:sz w:val="24"/>
          <w:szCs w:val="24"/>
        </w:rPr>
        <w:t xml:space="preserve">l honor </w:t>
      </w:r>
      <w:r w:rsidR="00940654" w:rsidRPr="00A2680F">
        <w:rPr>
          <w:rFonts w:ascii="Garamond" w:hAnsi="Garamond" w:cs="Times New Roman"/>
          <w:b/>
          <w:bCs/>
          <w:sz w:val="24"/>
          <w:szCs w:val="24"/>
        </w:rPr>
        <w:t>cuestionado y atacado</w:t>
      </w:r>
    </w:p>
    <w:p w14:paraId="520EADBA" w14:textId="1AC3146A" w:rsidR="00480102" w:rsidRPr="00A2680F" w:rsidRDefault="00EB2A1F" w:rsidP="00A2680F">
      <w:pPr>
        <w:jc w:val="both"/>
        <w:rPr>
          <w:rFonts w:ascii="Garamond" w:hAnsi="Garamond" w:cs="Times New Roman"/>
          <w:sz w:val="24"/>
          <w:szCs w:val="24"/>
        </w:rPr>
      </w:pPr>
      <w:r w:rsidRPr="00A2680F">
        <w:rPr>
          <w:rFonts w:ascii="Garamond" w:hAnsi="Garamond" w:cs="Times New Roman"/>
          <w:sz w:val="24"/>
          <w:szCs w:val="24"/>
        </w:rPr>
        <w:t>Del</w:t>
      </w:r>
      <w:r w:rsidR="00940654" w:rsidRPr="00A2680F">
        <w:rPr>
          <w:rFonts w:ascii="Garamond" w:hAnsi="Garamond" w:cs="Times New Roman"/>
          <w:sz w:val="24"/>
          <w:szCs w:val="24"/>
        </w:rPr>
        <w:t xml:space="preserve"> caso estudiado </w:t>
      </w:r>
      <w:r w:rsidRPr="00A2680F">
        <w:rPr>
          <w:rFonts w:ascii="Garamond" w:hAnsi="Garamond" w:cs="Times New Roman"/>
          <w:sz w:val="24"/>
          <w:szCs w:val="24"/>
        </w:rPr>
        <w:t>se desprende una</w:t>
      </w:r>
      <w:r w:rsidR="00940654" w:rsidRPr="00A2680F">
        <w:rPr>
          <w:rFonts w:ascii="Garamond" w:hAnsi="Garamond" w:cs="Times New Roman"/>
          <w:sz w:val="24"/>
          <w:szCs w:val="24"/>
        </w:rPr>
        <w:t xml:space="preserve"> </w:t>
      </w:r>
      <w:r w:rsidR="00FD7D6D" w:rsidRPr="00A2680F">
        <w:rPr>
          <w:rFonts w:ascii="Garamond" w:hAnsi="Garamond" w:cs="Times New Roman"/>
          <w:sz w:val="24"/>
          <w:szCs w:val="24"/>
        </w:rPr>
        <w:t xml:space="preserve">estrategia </w:t>
      </w:r>
      <w:r w:rsidR="0010532D" w:rsidRPr="00A2680F">
        <w:rPr>
          <w:rFonts w:ascii="Garamond" w:hAnsi="Garamond" w:cs="Times New Roman"/>
          <w:sz w:val="24"/>
          <w:szCs w:val="24"/>
        </w:rPr>
        <w:t xml:space="preserve">más </w:t>
      </w:r>
      <w:r w:rsidR="003F6A43" w:rsidRPr="00A2680F">
        <w:rPr>
          <w:rFonts w:ascii="Garamond" w:hAnsi="Garamond" w:cs="Times New Roman"/>
          <w:sz w:val="24"/>
          <w:szCs w:val="24"/>
        </w:rPr>
        <w:t xml:space="preserve">de resistencia </w:t>
      </w:r>
      <w:r w:rsidR="0010532D" w:rsidRPr="00A2680F">
        <w:rPr>
          <w:rFonts w:ascii="Garamond" w:hAnsi="Garamond" w:cs="Times New Roman"/>
          <w:sz w:val="24"/>
          <w:szCs w:val="24"/>
        </w:rPr>
        <w:t>por parte de Juana María</w:t>
      </w:r>
      <w:r w:rsidR="002A0EB4" w:rsidRPr="00A2680F">
        <w:rPr>
          <w:rFonts w:ascii="Garamond" w:hAnsi="Garamond" w:cs="Times New Roman"/>
          <w:sz w:val="24"/>
          <w:szCs w:val="24"/>
        </w:rPr>
        <w:t xml:space="preserve"> y, por el peso del factor en cuestión merece una reflexión aparte.</w:t>
      </w:r>
      <w:r w:rsidR="0010532D" w:rsidRPr="00A2680F">
        <w:rPr>
          <w:rFonts w:ascii="Garamond" w:hAnsi="Garamond" w:cs="Times New Roman"/>
          <w:sz w:val="24"/>
          <w:szCs w:val="24"/>
        </w:rPr>
        <w:t xml:space="preserve"> </w:t>
      </w:r>
      <w:r w:rsidR="002A0EB4" w:rsidRPr="00A2680F">
        <w:rPr>
          <w:rFonts w:ascii="Garamond" w:hAnsi="Garamond" w:cs="Times New Roman"/>
          <w:sz w:val="24"/>
          <w:szCs w:val="24"/>
        </w:rPr>
        <w:t>Se trató d</w:t>
      </w:r>
      <w:r w:rsidR="0010532D" w:rsidRPr="00A2680F">
        <w:rPr>
          <w:rFonts w:ascii="Garamond" w:hAnsi="Garamond" w:cs="Times New Roman"/>
          <w:sz w:val="24"/>
          <w:szCs w:val="24"/>
        </w:rPr>
        <w:t xml:space="preserve">el </w:t>
      </w:r>
      <w:r w:rsidR="005677EA" w:rsidRPr="00A2680F">
        <w:rPr>
          <w:rFonts w:ascii="Garamond" w:hAnsi="Garamond" w:cs="Times New Roman"/>
          <w:sz w:val="24"/>
          <w:szCs w:val="24"/>
        </w:rPr>
        <w:t xml:space="preserve">debilitamiento </w:t>
      </w:r>
      <w:r w:rsidR="00940654" w:rsidRPr="00A2680F">
        <w:rPr>
          <w:rFonts w:ascii="Garamond" w:hAnsi="Garamond" w:cs="Times New Roman"/>
          <w:sz w:val="24"/>
          <w:szCs w:val="24"/>
        </w:rPr>
        <w:t>del honor</w:t>
      </w:r>
      <w:r w:rsidR="005677EA" w:rsidRPr="00A2680F">
        <w:rPr>
          <w:rFonts w:ascii="Garamond" w:hAnsi="Garamond" w:cs="Times New Roman"/>
          <w:sz w:val="24"/>
          <w:szCs w:val="24"/>
        </w:rPr>
        <w:t xml:space="preserve"> del amo al ser involucrado en el doble filicidio</w:t>
      </w:r>
      <w:r w:rsidR="00940654" w:rsidRPr="00A2680F">
        <w:rPr>
          <w:rFonts w:ascii="Garamond" w:hAnsi="Garamond" w:cs="Times New Roman"/>
          <w:sz w:val="24"/>
          <w:szCs w:val="24"/>
        </w:rPr>
        <w:t xml:space="preserve">, en el sentido de que </w:t>
      </w:r>
      <w:r w:rsidR="00480102" w:rsidRPr="00A2680F">
        <w:rPr>
          <w:rFonts w:ascii="Garamond" w:hAnsi="Garamond" w:cs="Times New Roman"/>
          <w:sz w:val="24"/>
          <w:szCs w:val="24"/>
        </w:rPr>
        <w:t>Gómez</w:t>
      </w:r>
      <w:r w:rsidR="00940654" w:rsidRPr="00A2680F">
        <w:rPr>
          <w:rFonts w:ascii="Garamond" w:hAnsi="Garamond" w:cs="Times New Roman"/>
          <w:sz w:val="24"/>
          <w:szCs w:val="24"/>
        </w:rPr>
        <w:t xml:space="preserve"> sintió que su </w:t>
      </w:r>
      <w:r w:rsidR="00940654" w:rsidRPr="00A2680F">
        <w:rPr>
          <w:rFonts w:ascii="Garamond" w:hAnsi="Garamond" w:cs="Times New Roman"/>
          <w:sz w:val="24"/>
          <w:szCs w:val="24"/>
        </w:rPr>
        <w:lastRenderedPageBreak/>
        <w:t xml:space="preserve">valoración </w:t>
      </w:r>
      <w:r w:rsidR="00161AD1" w:rsidRPr="00A2680F">
        <w:rPr>
          <w:rFonts w:ascii="Garamond" w:hAnsi="Garamond" w:cs="Times New Roman"/>
          <w:sz w:val="24"/>
          <w:szCs w:val="24"/>
        </w:rPr>
        <w:t>pública y reconocimiento social</w:t>
      </w:r>
      <w:r w:rsidR="00940654" w:rsidRPr="00A2680F">
        <w:rPr>
          <w:rFonts w:ascii="Garamond" w:hAnsi="Garamond" w:cs="Times New Roman"/>
          <w:sz w:val="24"/>
          <w:szCs w:val="24"/>
        </w:rPr>
        <w:t xml:space="preserve"> era</w:t>
      </w:r>
      <w:r w:rsidR="00161AD1" w:rsidRPr="00A2680F">
        <w:rPr>
          <w:rFonts w:ascii="Garamond" w:hAnsi="Garamond" w:cs="Times New Roman"/>
          <w:sz w:val="24"/>
          <w:szCs w:val="24"/>
        </w:rPr>
        <w:t>n</w:t>
      </w:r>
      <w:r w:rsidR="00940654" w:rsidRPr="00A2680F">
        <w:rPr>
          <w:rFonts w:ascii="Garamond" w:hAnsi="Garamond" w:cs="Times New Roman"/>
          <w:sz w:val="24"/>
          <w:szCs w:val="24"/>
        </w:rPr>
        <w:t xml:space="preserve"> atacad</w:t>
      </w:r>
      <w:r w:rsidR="00161AD1" w:rsidRPr="00A2680F">
        <w:rPr>
          <w:rFonts w:ascii="Garamond" w:hAnsi="Garamond" w:cs="Times New Roman"/>
          <w:sz w:val="24"/>
          <w:szCs w:val="24"/>
        </w:rPr>
        <w:t>o</w:t>
      </w:r>
      <w:r w:rsidRPr="00A2680F">
        <w:rPr>
          <w:rFonts w:ascii="Garamond" w:hAnsi="Garamond" w:cs="Times New Roman"/>
          <w:sz w:val="24"/>
          <w:szCs w:val="24"/>
        </w:rPr>
        <w:t>s</w:t>
      </w:r>
      <w:r w:rsidR="00940654" w:rsidRPr="00A2680F">
        <w:rPr>
          <w:rFonts w:ascii="Garamond" w:hAnsi="Garamond" w:cs="Times New Roman"/>
          <w:sz w:val="24"/>
          <w:szCs w:val="24"/>
        </w:rPr>
        <w:t xml:space="preserve"> por</w:t>
      </w:r>
      <w:r w:rsidR="00E14DB3" w:rsidRPr="00A2680F">
        <w:rPr>
          <w:rFonts w:ascii="Garamond" w:hAnsi="Garamond" w:cs="Times New Roman"/>
          <w:sz w:val="24"/>
          <w:szCs w:val="24"/>
        </w:rPr>
        <w:t xml:space="preserve"> </w:t>
      </w:r>
      <w:r w:rsidR="0010532D" w:rsidRPr="00A2680F">
        <w:rPr>
          <w:rFonts w:ascii="Garamond" w:hAnsi="Garamond" w:cs="Times New Roman"/>
          <w:sz w:val="24"/>
          <w:szCs w:val="24"/>
        </w:rPr>
        <w:t>la cautiv</w:t>
      </w:r>
      <w:r w:rsidR="00E14DB3" w:rsidRPr="00A2680F">
        <w:rPr>
          <w:rFonts w:ascii="Garamond" w:hAnsi="Garamond" w:cs="Times New Roman"/>
          <w:sz w:val="24"/>
          <w:szCs w:val="24"/>
        </w:rPr>
        <w:t>a</w:t>
      </w:r>
      <w:r w:rsidR="00E10594" w:rsidRPr="00A2680F">
        <w:rPr>
          <w:rStyle w:val="Refdenotaalpie"/>
          <w:rFonts w:ascii="Garamond" w:hAnsi="Garamond" w:cs="Times New Roman"/>
          <w:sz w:val="24"/>
          <w:szCs w:val="24"/>
        </w:rPr>
        <w:footnoteReference w:id="67"/>
      </w:r>
      <w:r w:rsidR="0010532D" w:rsidRPr="00A2680F">
        <w:rPr>
          <w:rFonts w:ascii="Garamond" w:hAnsi="Garamond" w:cs="Times New Roman"/>
          <w:sz w:val="24"/>
          <w:szCs w:val="24"/>
        </w:rPr>
        <w:t>. Esto implicaba que</w:t>
      </w:r>
      <w:r w:rsidR="008116C4" w:rsidRPr="00A2680F">
        <w:rPr>
          <w:rFonts w:ascii="Garamond" w:hAnsi="Garamond" w:cs="Times New Roman"/>
          <w:sz w:val="24"/>
          <w:szCs w:val="24"/>
        </w:rPr>
        <w:t xml:space="preserve"> debía </w:t>
      </w:r>
      <w:r w:rsidR="00F5621D" w:rsidRPr="00A2680F">
        <w:rPr>
          <w:rFonts w:ascii="Garamond" w:hAnsi="Garamond" w:cs="Times New Roman"/>
          <w:sz w:val="24"/>
          <w:szCs w:val="24"/>
        </w:rPr>
        <w:t xml:space="preserve">darse a la tarea de </w:t>
      </w:r>
      <w:r w:rsidR="008116C4" w:rsidRPr="00A2680F">
        <w:rPr>
          <w:rFonts w:ascii="Garamond" w:hAnsi="Garamond" w:cs="Times New Roman"/>
          <w:i/>
          <w:iCs/>
          <w:sz w:val="24"/>
          <w:szCs w:val="24"/>
        </w:rPr>
        <w:t>“purificar el honor mío y de mi esposa doña María Victoria Plata”</w:t>
      </w:r>
      <w:r w:rsidR="00F5621D" w:rsidRPr="00A2680F">
        <w:rPr>
          <w:rStyle w:val="Refdenotaalpie"/>
          <w:rFonts w:ascii="Garamond" w:hAnsi="Garamond" w:cs="Times New Roman"/>
          <w:sz w:val="24"/>
          <w:szCs w:val="24"/>
        </w:rPr>
        <w:footnoteReference w:id="68"/>
      </w:r>
      <w:r w:rsidR="00E10594" w:rsidRPr="00A2680F">
        <w:rPr>
          <w:rFonts w:ascii="Garamond" w:hAnsi="Garamond" w:cs="Times New Roman"/>
          <w:i/>
          <w:iCs/>
          <w:sz w:val="24"/>
          <w:szCs w:val="24"/>
        </w:rPr>
        <w:t>.</w:t>
      </w:r>
      <w:r w:rsidR="00480102" w:rsidRPr="00A2680F">
        <w:rPr>
          <w:rFonts w:ascii="Garamond" w:hAnsi="Garamond" w:cs="Times New Roman"/>
          <w:sz w:val="24"/>
          <w:szCs w:val="24"/>
        </w:rPr>
        <w:t xml:space="preserve"> Se entiende por honor, aquel atributo especial que tenía un amplio uso no restringido únicamente a los sectores privilegiados de la sociedad</w:t>
      </w:r>
      <w:r w:rsidR="00F5621D" w:rsidRPr="00A2680F">
        <w:rPr>
          <w:rFonts w:ascii="Garamond" w:hAnsi="Garamond" w:cs="Times New Roman"/>
          <w:sz w:val="24"/>
          <w:szCs w:val="24"/>
        </w:rPr>
        <w:t xml:space="preserve"> de origen hispánico</w:t>
      </w:r>
      <w:r w:rsidR="0090521D" w:rsidRPr="00A2680F">
        <w:rPr>
          <w:rFonts w:ascii="Garamond" w:hAnsi="Garamond" w:cs="Times New Roman"/>
          <w:sz w:val="24"/>
          <w:szCs w:val="24"/>
        </w:rPr>
        <w:t>, aunque los esclavos carecían de est</w:t>
      </w:r>
      <w:r w:rsidR="00246266" w:rsidRPr="00A2680F">
        <w:rPr>
          <w:rFonts w:ascii="Garamond" w:hAnsi="Garamond" w:cs="Times New Roman"/>
          <w:sz w:val="24"/>
          <w:szCs w:val="24"/>
        </w:rPr>
        <w:t>a</w:t>
      </w:r>
      <w:r w:rsidR="0090521D" w:rsidRPr="00A2680F">
        <w:rPr>
          <w:rFonts w:ascii="Garamond" w:hAnsi="Garamond" w:cs="Times New Roman"/>
          <w:sz w:val="24"/>
          <w:szCs w:val="24"/>
        </w:rPr>
        <w:t xml:space="preserve"> </w:t>
      </w:r>
      <w:r w:rsidR="00246266" w:rsidRPr="00A2680F">
        <w:rPr>
          <w:rFonts w:ascii="Garamond" w:hAnsi="Garamond" w:cs="Times New Roman"/>
          <w:sz w:val="24"/>
          <w:szCs w:val="24"/>
        </w:rPr>
        <w:t>particularidad</w:t>
      </w:r>
      <w:r w:rsidR="0090521D" w:rsidRPr="00A2680F">
        <w:rPr>
          <w:rFonts w:ascii="Garamond" w:hAnsi="Garamond" w:cs="Times New Roman"/>
          <w:sz w:val="24"/>
          <w:szCs w:val="24"/>
        </w:rPr>
        <w:t xml:space="preserve"> por no tener lugar político en la república, carecer de la capacidad de vergüenza y no gozar de “bueno nombre”</w:t>
      </w:r>
      <w:r w:rsidR="00E10594" w:rsidRPr="00A2680F">
        <w:rPr>
          <w:rStyle w:val="Refdenotaalpie"/>
          <w:rFonts w:ascii="Garamond" w:hAnsi="Garamond" w:cs="Times New Roman"/>
          <w:sz w:val="24"/>
          <w:szCs w:val="24"/>
        </w:rPr>
        <w:footnoteReference w:id="69"/>
      </w:r>
      <w:r w:rsidR="00480102" w:rsidRPr="00A2680F">
        <w:rPr>
          <w:rFonts w:ascii="Garamond" w:hAnsi="Garamond" w:cs="Times New Roman"/>
          <w:sz w:val="24"/>
          <w:szCs w:val="24"/>
        </w:rPr>
        <w:t>. Para el siglo XVIII</w:t>
      </w:r>
      <w:r w:rsidR="00E059D0" w:rsidRPr="00A2680F">
        <w:rPr>
          <w:rFonts w:ascii="Garamond" w:hAnsi="Garamond" w:cs="Times New Roman"/>
          <w:sz w:val="24"/>
          <w:szCs w:val="24"/>
        </w:rPr>
        <w:t>, en</w:t>
      </w:r>
      <w:r w:rsidR="00480102" w:rsidRPr="00A2680F">
        <w:rPr>
          <w:rFonts w:ascii="Garamond" w:hAnsi="Garamond" w:cs="Times New Roman"/>
          <w:sz w:val="24"/>
          <w:szCs w:val="24"/>
        </w:rPr>
        <w:t xml:space="preserve"> las confrontaciones del honor</w:t>
      </w:r>
      <w:r w:rsidR="00E059D0" w:rsidRPr="00A2680F">
        <w:rPr>
          <w:rFonts w:ascii="Garamond" w:hAnsi="Garamond" w:cs="Times New Roman"/>
          <w:sz w:val="24"/>
          <w:szCs w:val="24"/>
        </w:rPr>
        <w:t xml:space="preserve"> en Hispanoamérica</w:t>
      </w:r>
      <w:r w:rsidR="00480102" w:rsidRPr="00A2680F">
        <w:rPr>
          <w:rFonts w:ascii="Garamond" w:hAnsi="Garamond" w:cs="Times New Roman"/>
          <w:sz w:val="24"/>
          <w:szCs w:val="24"/>
        </w:rPr>
        <w:t xml:space="preserve"> entraron en juego los sectores populares de los más diversos orígenes y calidades. La idea de honor abarca</w:t>
      </w:r>
      <w:r w:rsidR="00147C4F" w:rsidRPr="00A2680F">
        <w:rPr>
          <w:rFonts w:ascii="Garamond" w:hAnsi="Garamond" w:cs="Times New Roman"/>
          <w:sz w:val="24"/>
          <w:szCs w:val="24"/>
        </w:rPr>
        <w:t>ba</w:t>
      </w:r>
      <w:r w:rsidR="00480102" w:rsidRPr="00A2680F">
        <w:rPr>
          <w:rFonts w:ascii="Garamond" w:hAnsi="Garamond" w:cs="Times New Roman"/>
          <w:sz w:val="24"/>
          <w:szCs w:val="24"/>
        </w:rPr>
        <w:t xml:space="preserve"> </w:t>
      </w:r>
      <w:r w:rsidR="00147C4F" w:rsidRPr="00A2680F">
        <w:rPr>
          <w:rFonts w:ascii="Garamond" w:hAnsi="Garamond" w:cs="Times New Roman"/>
          <w:sz w:val="24"/>
          <w:szCs w:val="24"/>
        </w:rPr>
        <w:t>heterogéneas</w:t>
      </w:r>
      <w:r w:rsidR="00480102" w:rsidRPr="00A2680F">
        <w:rPr>
          <w:rFonts w:ascii="Garamond" w:hAnsi="Garamond" w:cs="Times New Roman"/>
          <w:sz w:val="24"/>
          <w:szCs w:val="24"/>
        </w:rPr>
        <w:t xml:space="preserve"> acepciones sobre la estimación </w:t>
      </w:r>
      <w:r w:rsidR="00FC571F" w:rsidRPr="00A2680F">
        <w:rPr>
          <w:rFonts w:ascii="Garamond" w:hAnsi="Garamond" w:cs="Times New Roman"/>
          <w:sz w:val="24"/>
          <w:szCs w:val="24"/>
        </w:rPr>
        <w:t>colectiva</w:t>
      </w:r>
      <w:r w:rsidR="00480102" w:rsidRPr="00A2680F">
        <w:rPr>
          <w:rFonts w:ascii="Garamond" w:hAnsi="Garamond" w:cs="Times New Roman"/>
          <w:sz w:val="24"/>
          <w:szCs w:val="24"/>
        </w:rPr>
        <w:t xml:space="preserve"> que se tenía de alguien. Por una parte, aquella asociada con la estima </w:t>
      </w:r>
      <w:r w:rsidR="00FC571F" w:rsidRPr="00A2680F">
        <w:rPr>
          <w:rFonts w:ascii="Garamond" w:hAnsi="Garamond" w:cs="Times New Roman"/>
          <w:sz w:val="24"/>
          <w:szCs w:val="24"/>
        </w:rPr>
        <w:t>social</w:t>
      </w:r>
      <w:r w:rsidR="00480102" w:rsidRPr="00A2680F">
        <w:rPr>
          <w:rFonts w:ascii="Garamond" w:hAnsi="Garamond" w:cs="Times New Roman"/>
          <w:sz w:val="24"/>
          <w:szCs w:val="24"/>
        </w:rPr>
        <w:t>, la dignidad, la fama, la recompensa y el buen nombre</w:t>
      </w:r>
      <w:r w:rsidR="00147C4F" w:rsidRPr="00A2680F">
        <w:rPr>
          <w:rFonts w:ascii="Garamond" w:hAnsi="Garamond" w:cs="Times New Roman"/>
          <w:sz w:val="24"/>
          <w:szCs w:val="24"/>
        </w:rPr>
        <w:t>,</w:t>
      </w:r>
      <w:r w:rsidR="00480102" w:rsidRPr="00A2680F">
        <w:rPr>
          <w:rFonts w:ascii="Garamond" w:hAnsi="Garamond" w:cs="Times New Roman"/>
          <w:sz w:val="24"/>
          <w:szCs w:val="24"/>
        </w:rPr>
        <w:t xml:space="preserve"> inicialmente </w:t>
      </w:r>
      <w:r w:rsidR="00147C4F" w:rsidRPr="00A2680F">
        <w:rPr>
          <w:rFonts w:ascii="Garamond" w:hAnsi="Garamond" w:cs="Times New Roman"/>
          <w:sz w:val="24"/>
          <w:szCs w:val="24"/>
        </w:rPr>
        <w:t>relacion</w:t>
      </w:r>
      <w:r w:rsidR="00480102" w:rsidRPr="00A2680F">
        <w:rPr>
          <w:rFonts w:ascii="Garamond" w:hAnsi="Garamond" w:cs="Times New Roman"/>
          <w:sz w:val="24"/>
          <w:szCs w:val="24"/>
        </w:rPr>
        <w:t>ada a l</w:t>
      </w:r>
      <w:r w:rsidR="00FC571F" w:rsidRPr="00A2680F">
        <w:rPr>
          <w:rFonts w:ascii="Garamond" w:hAnsi="Garamond" w:cs="Times New Roman"/>
          <w:sz w:val="24"/>
          <w:szCs w:val="24"/>
        </w:rPr>
        <w:t>as personas</w:t>
      </w:r>
      <w:r w:rsidR="00480102" w:rsidRPr="00A2680F">
        <w:rPr>
          <w:rFonts w:ascii="Garamond" w:hAnsi="Garamond" w:cs="Times New Roman"/>
          <w:sz w:val="24"/>
          <w:szCs w:val="24"/>
        </w:rPr>
        <w:t xml:space="preserve"> encumbrad</w:t>
      </w:r>
      <w:r w:rsidR="00FC571F" w:rsidRPr="00A2680F">
        <w:rPr>
          <w:rFonts w:ascii="Garamond" w:hAnsi="Garamond" w:cs="Times New Roman"/>
          <w:sz w:val="24"/>
          <w:szCs w:val="24"/>
        </w:rPr>
        <w:t>a</w:t>
      </w:r>
      <w:r w:rsidR="00480102" w:rsidRPr="00A2680F">
        <w:rPr>
          <w:rFonts w:ascii="Garamond" w:hAnsi="Garamond" w:cs="Times New Roman"/>
          <w:sz w:val="24"/>
          <w:szCs w:val="24"/>
        </w:rPr>
        <w:t xml:space="preserve">s de la sociedad, pero luego extendida a las demás capas sociales. Por otra, el honor también se vinculaba con los códigos de conducta y la moral sexual, así como a la reputación </w:t>
      </w:r>
      <w:r w:rsidR="00147C4F" w:rsidRPr="00A2680F">
        <w:rPr>
          <w:rFonts w:ascii="Garamond" w:hAnsi="Garamond" w:cs="Times New Roman"/>
          <w:sz w:val="24"/>
          <w:szCs w:val="24"/>
        </w:rPr>
        <w:t>lig</w:t>
      </w:r>
      <w:r w:rsidR="00480102" w:rsidRPr="00A2680F">
        <w:rPr>
          <w:rFonts w:ascii="Garamond" w:hAnsi="Garamond" w:cs="Times New Roman"/>
          <w:sz w:val="24"/>
          <w:szCs w:val="24"/>
        </w:rPr>
        <w:t xml:space="preserve">ada con comportamientos como la honradez, la rectitud de proceder y el alejamiento de los vicios. Además, con la riqueza, la heredad, el patrimonio, aspectos no menos importantes en los juegos del honor. Finalmente, con el origen y el nacimiento, con un pasado conocido y sin la mácula de la mezcla con </w:t>
      </w:r>
      <w:r w:rsidR="00147C4F" w:rsidRPr="00A2680F">
        <w:rPr>
          <w:rFonts w:ascii="Garamond" w:hAnsi="Garamond" w:cs="Times New Roman"/>
          <w:sz w:val="24"/>
          <w:szCs w:val="24"/>
        </w:rPr>
        <w:t>algún elemento</w:t>
      </w:r>
      <w:r w:rsidR="00480102" w:rsidRPr="00A2680F">
        <w:rPr>
          <w:rFonts w:ascii="Garamond" w:hAnsi="Garamond" w:cs="Times New Roman"/>
          <w:sz w:val="24"/>
          <w:szCs w:val="24"/>
        </w:rPr>
        <w:t xml:space="preserve"> pagano</w:t>
      </w:r>
      <w:r w:rsidR="00E10594" w:rsidRPr="00A2680F">
        <w:rPr>
          <w:rStyle w:val="Refdenotaalpie"/>
          <w:rFonts w:ascii="Garamond" w:hAnsi="Garamond" w:cs="Times New Roman"/>
          <w:sz w:val="24"/>
          <w:szCs w:val="24"/>
        </w:rPr>
        <w:footnoteReference w:id="70"/>
      </w:r>
      <w:r w:rsidR="00480102" w:rsidRPr="00A2680F">
        <w:rPr>
          <w:rFonts w:ascii="Garamond" w:hAnsi="Garamond" w:cs="Times New Roman"/>
          <w:sz w:val="24"/>
          <w:szCs w:val="24"/>
        </w:rPr>
        <w:t>.</w:t>
      </w:r>
      <w:r w:rsidR="00161AD1" w:rsidRPr="00A2680F">
        <w:rPr>
          <w:rFonts w:ascii="Garamond" w:hAnsi="Garamond" w:cs="Times New Roman"/>
          <w:sz w:val="24"/>
          <w:szCs w:val="24"/>
        </w:rPr>
        <w:t xml:space="preserve"> </w:t>
      </w:r>
    </w:p>
    <w:p w14:paraId="32140320" w14:textId="77777777" w:rsidR="00316FFC" w:rsidRPr="00A2680F" w:rsidRDefault="00316FFC" w:rsidP="00A2680F">
      <w:pPr>
        <w:jc w:val="both"/>
        <w:rPr>
          <w:rFonts w:ascii="Garamond" w:hAnsi="Garamond" w:cs="Times New Roman"/>
          <w:sz w:val="24"/>
          <w:szCs w:val="24"/>
        </w:rPr>
      </w:pPr>
    </w:p>
    <w:p w14:paraId="182B970F" w14:textId="2A25DD49" w:rsidR="005677EA" w:rsidRPr="00A2680F" w:rsidRDefault="008E4884" w:rsidP="00A2680F">
      <w:pPr>
        <w:jc w:val="both"/>
        <w:rPr>
          <w:rFonts w:ascii="Garamond" w:hAnsi="Garamond" w:cs="Times New Roman"/>
          <w:sz w:val="24"/>
          <w:szCs w:val="24"/>
        </w:rPr>
      </w:pPr>
      <w:r w:rsidRPr="00A2680F">
        <w:rPr>
          <w:rFonts w:ascii="Garamond" w:hAnsi="Garamond" w:cs="Times New Roman"/>
          <w:sz w:val="24"/>
          <w:szCs w:val="24"/>
        </w:rPr>
        <w:t xml:space="preserve">En </w:t>
      </w:r>
      <w:r w:rsidR="00480102" w:rsidRPr="00A2680F">
        <w:rPr>
          <w:rFonts w:ascii="Garamond" w:hAnsi="Garamond" w:cs="Times New Roman"/>
          <w:sz w:val="24"/>
          <w:szCs w:val="24"/>
        </w:rPr>
        <w:t>un escrito</w:t>
      </w:r>
      <w:r w:rsidR="001B2465" w:rsidRPr="00A2680F">
        <w:rPr>
          <w:rFonts w:ascii="Garamond" w:hAnsi="Garamond" w:cs="Times New Roman"/>
          <w:sz w:val="24"/>
          <w:szCs w:val="24"/>
        </w:rPr>
        <w:t xml:space="preserve"> enviado al </w:t>
      </w:r>
      <w:r w:rsidR="005677EA" w:rsidRPr="00A2680F">
        <w:rPr>
          <w:rFonts w:ascii="Garamond" w:hAnsi="Garamond" w:cs="Times New Roman"/>
          <w:sz w:val="24"/>
          <w:szCs w:val="24"/>
        </w:rPr>
        <w:t>alcalde ordinario</w:t>
      </w:r>
      <w:r w:rsidR="001B2465" w:rsidRPr="00A2680F">
        <w:rPr>
          <w:rFonts w:ascii="Garamond" w:hAnsi="Garamond" w:cs="Times New Roman"/>
          <w:sz w:val="24"/>
          <w:szCs w:val="24"/>
        </w:rPr>
        <w:t xml:space="preserve"> en abril de 1797</w:t>
      </w:r>
      <w:r w:rsidR="005677EA" w:rsidRPr="00A2680F">
        <w:rPr>
          <w:rFonts w:ascii="Garamond" w:hAnsi="Garamond" w:cs="Times New Roman"/>
          <w:sz w:val="24"/>
          <w:szCs w:val="24"/>
        </w:rPr>
        <w:t>, don Josef Javier</w:t>
      </w:r>
      <w:r w:rsidRPr="00A2680F">
        <w:rPr>
          <w:rFonts w:ascii="Garamond" w:hAnsi="Garamond" w:cs="Times New Roman"/>
          <w:sz w:val="24"/>
          <w:szCs w:val="24"/>
        </w:rPr>
        <w:t xml:space="preserve"> m</w:t>
      </w:r>
      <w:r w:rsidR="00670446" w:rsidRPr="00A2680F">
        <w:rPr>
          <w:rFonts w:ascii="Garamond" w:hAnsi="Garamond" w:cs="Times New Roman"/>
          <w:sz w:val="24"/>
          <w:szCs w:val="24"/>
        </w:rPr>
        <w:t>o</w:t>
      </w:r>
      <w:r w:rsidRPr="00A2680F">
        <w:rPr>
          <w:rFonts w:ascii="Garamond" w:hAnsi="Garamond" w:cs="Times New Roman"/>
          <w:sz w:val="24"/>
          <w:szCs w:val="24"/>
        </w:rPr>
        <w:t>str</w:t>
      </w:r>
      <w:r w:rsidR="00670446" w:rsidRPr="00A2680F">
        <w:rPr>
          <w:rFonts w:ascii="Garamond" w:hAnsi="Garamond" w:cs="Times New Roman"/>
          <w:sz w:val="24"/>
          <w:szCs w:val="24"/>
        </w:rPr>
        <w:t>ó</w:t>
      </w:r>
      <w:r w:rsidRPr="00A2680F">
        <w:rPr>
          <w:rFonts w:ascii="Garamond" w:hAnsi="Garamond" w:cs="Times New Roman"/>
          <w:sz w:val="24"/>
          <w:szCs w:val="24"/>
        </w:rPr>
        <w:t xml:space="preserve"> </w:t>
      </w:r>
      <w:r w:rsidR="00670446" w:rsidRPr="00A2680F">
        <w:rPr>
          <w:rFonts w:ascii="Garamond" w:hAnsi="Garamond" w:cs="Times New Roman"/>
          <w:sz w:val="24"/>
          <w:szCs w:val="24"/>
        </w:rPr>
        <w:t>su preocupación</w:t>
      </w:r>
      <w:r w:rsidR="001443C2" w:rsidRPr="00A2680F">
        <w:rPr>
          <w:rFonts w:ascii="Garamond" w:hAnsi="Garamond" w:cs="Times New Roman"/>
          <w:sz w:val="24"/>
          <w:szCs w:val="24"/>
        </w:rPr>
        <w:t xml:space="preserve">, puesto </w:t>
      </w:r>
      <w:r w:rsidRPr="00A2680F">
        <w:rPr>
          <w:rFonts w:ascii="Garamond" w:hAnsi="Garamond" w:cs="Times New Roman"/>
          <w:sz w:val="24"/>
          <w:szCs w:val="24"/>
        </w:rPr>
        <w:t xml:space="preserve">que </w:t>
      </w:r>
      <w:r w:rsidR="00147C4F" w:rsidRPr="00A2680F">
        <w:rPr>
          <w:rFonts w:ascii="Garamond" w:hAnsi="Garamond" w:cs="Times New Roman"/>
          <w:sz w:val="24"/>
          <w:szCs w:val="24"/>
        </w:rPr>
        <w:t>no solo</w:t>
      </w:r>
      <w:r w:rsidR="00FF5FA2" w:rsidRPr="00A2680F">
        <w:rPr>
          <w:rFonts w:ascii="Garamond" w:hAnsi="Garamond" w:cs="Times New Roman"/>
          <w:sz w:val="24"/>
          <w:szCs w:val="24"/>
        </w:rPr>
        <w:t xml:space="preserve"> se veía</w:t>
      </w:r>
      <w:r w:rsidR="00670446" w:rsidRPr="00A2680F">
        <w:rPr>
          <w:rFonts w:ascii="Garamond" w:hAnsi="Garamond" w:cs="Times New Roman"/>
          <w:sz w:val="24"/>
          <w:szCs w:val="24"/>
        </w:rPr>
        <w:t xml:space="preserve"> impli</w:t>
      </w:r>
      <w:r w:rsidR="00147C4F" w:rsidRPr="00A2680F">
        <w:rPr>
          <w:rFonts w:ascii="Garamond" w:hAnsi="Garamond" w:cs="Times New Roman"/>
          <w:sz w:val="24"/>
          <w:szCs w:val="24"/>
        </w:rPr>
        <w:t>ca</w:t>
      </w:r>
      <w:r w:rsidR="00FF5FA2" w:rsidRPr="00A2680F">
        <w:rPr>
          <w:rFonts w:ascii="Garamond" w:hAnsi="Garamond" w:cs="Times New Roman"/>
          <w:sz w:val="24"/>
          <w:szCs w:val="24"/>
        </w:rPr>
        <w:t>do</w:t>
      </w:r>
      <w:r w:rsidR="00147C4F" w:rsidRPr="00A2680F">
        <w:rPr>
          <w:rFonts w:ascii="Garamond" w:hAnsi="Garamond" w:cs="Times New Roman"/>
          <w:sz w:val="24"/>
          <w:szCs w:val="24"/>
        </w:rPr>
        <w:t xml:space="preserve"> en el</w:t>
      </w:r>
      <w:r w:rsidR="00495106" w:rsidRPr="00A2680F">
        <w:rPr>
          <w:rFonts w:ascii="Garamond" w:hAnsi="Garamond" w:cs="Times New Roman"/>
          <w:sz w:val="24"/>
          <w:szCs w:val="24"/>
        </w:rPr>
        <w:t xml:space="preserve"> escandaloso delito de su esclava</w:t>
      </w:r>
      <w:r w:rsidR="00147C4F" w:rsidRPr="00A2680F">
        <w:rPr>
          <w:rFonts w:ascii="Garamond" w:hAnsi="Garamond" w:cs="Times New Roman"/>
          <w:sz w:val="24"/>
          <w:szCs w:val="24"/>
        </w:rPr>
        <w:t>, sino que</w:t>
      </w:r>
      <w:r w:rsidRPr="00A2680F">
        <w:rPr>
          <w:rFonts w:ascii="Garamond" w:hAnsi="Garamond" w:cs="Times New Roman"/>
          <w:sz w:val="24"/>
          <w:szCs w:val="24"/>
        </w:rPr>
        <w:t xml:space="preserve"> le </w:t>
      </w:r>
      <w:r w:rsidR="00147C4F" w:rsidRPr="00A2680F">
        <w:rPr>
          <w:rFonts w:ascii="Garamond" w:hAnsi="Garamond" w:cs="Times New Roman"/>
          <w:sz w:val="24"/>
          <w:szCs w:val="24"/>
        </w:rPr>
        <w:t>debilitaba</w:t>
      </w:r>
      <w:r w:rsidRPr="00A2680F">
        <w:rPr>
          <w:rFonts w:ascii="Garamond" w:hAnsi="Garamond" w:cs="Times New Roman"/>
          <w:sz w:val="24"/>
          <w:szCs w:val="24"/>
        </w:rPr>
        <w:t xml:space="preserve"> su buen nombre, cuestionaba su comportamiento y </w:t>
      </w:r>
      <w:r w:rsidR="00DD7AD9" w:rsidRPr="00A2680F">
        <w:rPr>
          <w:rFonts w:ascii="Garamond" w:hAnsi="Garamond" w:cs="Times New Roman"/>
          <w:sz w:val="24"/>
          <w:szCs w:val="24"/>
        </w:rPr>
        <w:t xml:space="preserve">la rectitud con la que llevaba </w:t>
      </w:r>
      <w:r w:rsidR="00480102" w:rsidRPr="00A2680F">
        <w:rPr>
          <w:rFonts w:ascii="Garamond" w:hAnsi="Garamond" w:cs="Times New Roman"/>
          <w:sz w:val="24"/>
          <w:szCs w:val="24"/>
        </w:rPr>
        <w:t>su existenci</w:t>
      </w:r>
      <w:r w:rsidR="00DD7AD9" w:rsidRPr="00A2680F">
        <w:rPr>
          <w:rFonts w:ascii="Garamond" w:hAnsi="Garamond" w:cs="Times New Roman"/>
          <w:sz w:val="24"/>
          <w:szCs w:val="24"/>
        </w:rPr>
        <w:t>a</w:t>
      </w:r>
      <w:r w:rsidRPr="00A2680F">
        <w:rPr>
          <w:rFonts w:ascii="Garamond" w:hAnsi="Garamond" w:cs="Times New Roman"/>
          <w:sz w:val="24"/>
          <w:szCs w:val="24"/>
        </w:rPr>
        <w:t>.</w:t>
      </w:r>
      <w:r w:rsidR="001B2465" w:rsidRPr="00A2680F">
        <w:rPr>
          <w:rFonts w:ascii="Garamond" w:hAnsi="Garamond" w:cs="Times New Roman"/>
          <w:sz w:val="24"/>
          <w:szCs w:val="24"/>
        </w:rPr>
        <w:t xml:space="preserve"> Alegó </w:t>
      </w:r>
      <w:r w:rsidR="00495106" w:rsidRPr="00A2680F">
        <w:rPr>
          <w:rFonts w:ascii="Garamond" w:hAnsi="Garamond" w:cs="Times New Roman"/>
          <w:sz w:val="24"/>
          <w:szCs w:val="24"/>
        </w:rPr>
        <w:t>que reprobaba “la malicia” de la cauti</w:t>
      </w:r>
      <w:r w:rsidR="001B2465" w:rsidRPr="00A2680F">
        <w:rPr>
          <w:rFonts w:ascii="Garamond" w:hAnsi="Garamond" w:cs="Times New Roman"/>
          <w:sz w:val="24"/>
          <w:szCs w:val="24"/>
        </w:rPr>
        <w:t xml:space="preserve">va y refutaba </w:t>
      </w:r>
      <w:r w:rsidR="00670446" w:rsidRPr="00A2680F">
        <w:rPr>
          <w:rFonts w:ascii="Garamond" w:hAnsi="Garamond" w:cs="Times New Roman"/>
          <w:sz w:val="24"/>
          <w:szCs w:val="24"/>
        </w:rPr>
        <w:t>cualquier tipo de</w:t>
      </w:r>
      <w:r w:rsidR="001B2465" w:rsidRPr="00A2680F">
        <w:rPr>
          <w:rFonts w:ascii="Garamond" w:hAnsi="Garamond" w:cs="Times New Roman"/>
          <w:sz w:val="24"/>
          <w:szCs w:val="24"/>
        </w:rPr>
        <w:t xml:space="preserve"> acusaci</w:t>
      </w:r>
      <w:r w:rsidR="00670446" w:rsidRPr="00A2680F">
        <w:rPr>
          <w:rFonts w:ascii="Garamond" w:hAnsi="Garamond" w:cs="Times New Roman"/>
          <w:sz w:val="24"/>
          <w:szCs w:val="24"/>
        </w:rPr>
        <w:t>ón</w:t>
      </w:r>
      <w:r w:rsidR="001B2465" w:rsidRPr="00A2680F">
        <w:rPr>
          <w:rFonts w:ascii="Garamond" w:hAnsi="Garamond" w:cs="Times New Roman"/>
          <w:sz w:val="24"/>
          <w:szCs w:val="24"/>
        </w:rPr>
        <w:t xml:space="preserve"> citando </w:t>
      </w:r>
      <w:r w:rsidR="00670446" w:rsidRPr="00A2680F">
        <w:rPr>
          <w:rFonts w:ascii="Garamond" w:hAnsi="Garamond" w:cs="Times New Roman"/>
          <w:sz w:val="24"/>
          <w:szCs w:val="24"/>
        </w:rPr>
        <w:t>a</w:t>
      </w:r>
      <w:r w:rsidR="001B2465" w:rsidRPr="00A2680F">
        <w:rPr>
          <w:rFonts w:ascii="Garamond" w:hAnsi="Garamond" w:cs="Times New Roman"/>
          <w:sz w:val="24"/>
          <w:szCs w:val="24"/>
        </w:rPr>
        <w:t xml:space="preserve"> vari</w:t>
      </w:r>
      <w:r w:rsidR="00670446" w:rsidRPr="00A2680F">
        <w:rPr>
          <w:rFonts w:ascii="Garamond" w:hAnsi="Garamond" w:cs="Times New Roman"/>
          <w:sz w:val="24"/>
          <w:szCs w:val="24"/>
        </w:rPr>
        <w:t>as persona</w:t>
      </w:r>
      <w:r w:rsidR="001B2465" w:rsidRPr="00A2680F">
        <w:rPr>
          <w:rFonts w:ascii="Garamond" w:hAnsi="Garamond" w:cs="Times New Roman"/>
          <w:sz w:val="24"/>
          <w:szCs w:val="24"/>
        </w:rPr>
        <w:t xml:space="preserve">s que lo conocían </w:t>
      </w:r>
      <w:r w:rsidR="00C7033B" w:rsidRPr="00A2680F">
        <w:rPr>
          <w:rFonts w:ascii="Garamond" w:hAnsi="Garamond" w:cs="Times New Roman"/>
          <w:sz w:val="24"/>
          <w:szCs w:val="24"/>
        </w:rPr>
        <w:t xml:space="preserve">y podían dar fe </w:t>
      </w:r>
      <w:r w:rsidR="00147C4F" w:rsidRPr="00A2680F">
        <w:rPr>
          <w:rFonts w:ascii="Garamond" w:hAnsi="Garamond" w:cs="Times New Roman"/>
          <w:sz w:val="24"/>
          <w:szCs w:val="24"/>
        </w:rPr>
        <w:t>d</w:t>
      </w:r>
      <w:r w:rsidR="00C7033B" w:rsidRPr="00A2680F">
        <w:rPr>
          <w:rFonts w:ascii="Garamond" w:hAnsi="Garamond" w:cs="Times New Roman"/>
          <w:sz w:val="24"/>
          <w:szCs w:val="24"/>
        </w:rPr>
        <w:t xml:space="preserve">el tipo de gente que eran él y su esposa. </w:t>
      </w:r>
      <w:r w:rsidR="005677EA" w:rsidRPr="00A2680F">
        <w:rPr>
          <w:rFonts w:ascii="Garamond" w:hAnsi="Garamond" w:cs="Times New Roman"/>
          <w:sz w:val="24"/>
          <w:szCs w:val="24"/>
        </w:rPr>
        <w:t xml:space="preserve">Por lo tanto, se tomó a la tarea a convocar el testimonio de algunos vecinos para limpiar su honor. Como lo ha planteado Undurraga, la reputación y la fama </w:t>
      </w:r>
      <w:r w:rsidR="00C7033B" w:rsidRPr="00A2680F">
        <w:rPr>
          <w:rFonts w:ascii="Garamond" w:hAnsi="Garamond" w:cs="Times New Roman"/>
          <w:sz w:val="24"/>
          <w:szCs w:val="24"/>
        </w:rPr>
        <w:t xml:space="preserve">que constituía el honor de una persona del siglo XVIII </w:t>
      </w:r>
      <w:r w:rsidR="005677EA" w:rsidRPr="00A2680F">
        <w:rPr>
          <w:rFonts w:ascii="Garamond" w:hAnsi="Garamond" w:cs="Times New Roman"/>
          <w:sz w:val="24"/>
          <w:szCs w:val="24"/>
        </w:rPr>
        <w:t>debi</w:t>
      </w:r>
      <w:r w:rsidR="00C7033B" w:rsidRPr="00A2680F">
        <w:rPr>
          <w:rFonts w:ascii="Garamond" w:hAnsi="Garamond" w:cs="Times New Roman"/>
          <w:sz w:val="24"/>
          <w:szCs w:val="24"/>
        </w:rPr>
        <w:t>eron</w:t>
      </w:r>
      <w:r w:rsidR="005677EA" w:rsidRPr="00A2680F">
        <w:rPr>
          <w:rFonts w:ascii="Garamond" w:hAnsi="Garamond" w:cs="Times New Roman"/>
          <w:sz w:val="24"/>
          <w:szCs w:val="24"/>
        </w:rPr>
        <w:t xml:space="preserve"> ser ratificada</w:t>
      </w:r>
      <w:r w:rsidR="00C7033B" w:rsidRPr="00A2680F">
        <w:rPr>
          <w:rFonts w:ascii="Garamond" w:hAnsi="Garamond" w:cs="Times New Roman"/>
          <w:sz w:val="24"/>
          <w:szCs w:val="24"/>
        </w:rPr>
        <w:t>s</w:t>
      </w:r>
      <w:r w:rsidR="005677EA" w:rsidRPr="00A2680F">
        <w:rPr>
          <w:rFonts w:ascii="Garamond" w:hAnsi="Garamond" w:cs="Times New Roman"/>
          <w:sz w:val="24"/>
          <w:szCs w:val="24"/>
        </w:rPr>
        <w:t xml:space="preserve"> por otros, pues no era suficiente con la estima que alguien se tenía de sí mismo</w:t>
      </w:r>
      <w:r w:rsidR="00E10594" w:rsidRPr="00A2680F">
        <w:rPr>
          <w:rStyle w:val="Refdenotaalpie"/>
          <w:rFonts w:ascii="Garamond" w:hAnsi="Garamond" w:cs="Times New Roman"/>
          <w:sz w:val="24"/>
          <w:szCs w:val="24"/>
        </w:rPr>
        <w:footnoteReference w:id="71"/>
      </w:r>
      <w:r w:rsidR="005677EA" w:rsidRPr="00A2680F">
        <w:rPr>
          <w:rFonts w:ascii="Garamond" w:hAnsi="Garamond" w:cs="Times New Roman"/>
          <w:sz w:val="24"/>
          <w:szCs w:val="24"/>
        </w:rPr>
        <w:t xml:space="preserve">.  </w:t>
      </w:r>
    </w:p>
    <w:p w14:paraId="62328713" w14:textId="77777777" w:rsidR="00316FFC" w:rsidRPr="00A2680F" w:rsidRDefault="00316FFC" w:rsidP="00A2680F">
      <w:pPr>
        <w:jc w:val="both"/>
        <w:rPr>
          <w:rFonts w:ascii="Garamond" w:hAnsi="Garamond" w:cs="Times New Roman"/>
          <w:sz w:val="24"/>
          <w:szCs w:val="24"/>
        </w:rPr>
      </w:pPr>
    </w:p>
    <w:p w14:paraId="5B4ECFCC" w14:textId="1B3E5906" w:rsidR="00DD7AD9" w:rsidRPr="00A2680F" w:rsidRDefault="00C7033B" w:rsidP="00A2680F">
      <w:pPr>
        <w:jc w:val="both"/>
        <w:rPr>
          <w:rFonts w:ascii="Garamond" w:hAnsi="Garamond" w:cs="Times New Roman"/>
          <w:sz w:val="24"/>
          <w:szCs w:val="24"/>
        </w:rPr>
      </w:pPr>
      <w:r w:rsidRPr="00A2680F">
        <w:rPr>
          <w:rFonts w:ascii="Garamond" w:hAnsi="Garamond" w:cs="Times New Roman"/>
          <w:sz w:val="24"/>
          <w:szCs w:val="24"/>
        </w:rPr>
        <w:lastRenderedPageBreak/>
        <w:t>Así pues</w:t>
      </w:r>
      <w:r w:rsidR="00AD6746" w:rsidRPr="00A2680F">
        <w:rPr>
          <w:rFonts w:ascii="Garamond" w:hAnsi="Garamond" w:cs="Times New Roman"/>
          <w:sz w:val="24"/>
          <w:szCs w:val="24"/>
        </w:rPr>
        <w:t>,</w:t>
      </w:r>
      <w:r w:rsidR="00480102" w:rsidRPr="00A2680F">
        <w:rPr>
          <w:rFonts w:ascii="Garamond" w:hAnsi="Garamond" w:cs="Times New Roman"/>
          <w:sz w:val="24"/>
          <w:szCs w:val="24"/>
        </w:rPr>
        <w:t xml:space="preserve"> </w:t>
      </w:r>
      <w:r w:rsidRPr="00A2680F">
        <w:rPr>
          <w:rFonts w:ascii="Garamond" w:hAnsi="Garamond" w:cs="Times New Roman"/>
          <w:sz w:val="24"/>
          <w:szCs w:val="24"/>
        </w:rPr>
        <w:t>Gómez</w:t>
      </w:r>
      <w:r w:rsidR="00D714D6" w:rsidRPr="00A2680F">
        <w:rPr>
          <w:rFonts w:ascii="Garamond" w:hAnsi="Garamond" w:cs="Times New Roman"/>
          <w:sz w:val="24"/>
          <w:szCs w:val="24"/>
        </w:rPr>
        <w:t xml:space="preserve"> Plata</w:t>
      </w:r>
      <w:r w:rsidRPr="00A2680F">
        <w:rPr>
          <w:rFonts w:ascii="Garamond" w:hAnsi="Garamond" w:cs="Times New Roman"/>
          <w:sz w:val="24"/>
          <w:szCs w:val="24"/>
        </w:rPr>
        <w:t xml:space="preserve"> usó los mecanismos que le ofrecía el sistema judicial al </w:t>
      </w:r>
      <w:r w:rsidR="00147C4F" w:rsidRPr="00A2680F">
        <w:rPr>
          <w:rFonts w:ascii="Garamond" w:hAnsi="Garamond" w:cs="Times New Roman"/>
          <w:sz w:val="24"/>
          <w:szCs w:val="24"/>
        </w:rPr>
        <w:t xml:space="preserve">convocar </w:t>
      </w:r>
      <w:r w:rsidRPr="00A2680F">
        <w:rPr>
          <w:rFonts w:ascii="Garamond" w:hAnsi="Garamond" w:cs="Times New Roman"/>
          <w:sz w:val="24"/>
          <w:szCs w:val="24"/>
        </w:rPr>
        <w:t xml:space="preserve">a </w:t>
      </w:r>
      <w:r w:rsidR="00147C4F" w:rsidRPr="00A2680F">
        <w:rPr>
          <w:rFonts w:ascii="Garamond" w:hAnsi="Garamond" w:cs="Times New Roman"/>
          <w:sz w:val="24"/>
          <w:szCs w:val="24"/>
        </w:rPr>
        <w:t>un</w:t>
      </w:r>
      <w:r w:rsidR="009A3DD0" w:rsidRPr="00A2680F">
        <w:rPr>
          <w:rFonts w:ascii="Garamond" w:hAnsi="Garamond" w:cs="Times New Roman"/>
          <w:sz w:val="24"/>
          <w:szCs w:val="24"/>
        </w:rPr>
        <w:t>o</w:t>
      </w:r>
      <w:r w:rsidRPr="00A2680F">
        <w:rPr>
          <w:rFonts w:ascii="Garamond" w:hAnsi="Garamond" w:cs="Times New Roman"/>
          <w:sz w:val="24"/>
          <w:szCs w:val="24"/>
        </w:rPr>
        <w:t xml:space="preserve">s testigos </w:t>
      </w:r>
      <w:r w:rsidR="00147C4F" w:rsidRPr="00A2680F">
        <w:rPr>
          <w:rFonts w:ascii="Garamond" w:hAnsi="Garamond" w:cs="Times New Roman"/>
          <w:sz w:val="24"/>
          <w:szCs w:val="24"/>
        </w:rPr>
        <w:t xml:space="preserve">y formularles </w:t>
      </w:r>
      <w:r w:rsidRPr="00A2680F">
        <w:rPr>
          <w:rFonts w:ascii="Garamond" w:hAnsi="Garamond" w:cs="Times New Roman"/>
          <w:sz w:val="24"/>
          <w:szCs w:val="24"/>
        </w:rPr>
        <w:t>unas preguntas que re</w:t>
      </w:r>
      <w:r w:rsidR="00495106" w:rsidRPr="00A2680F">
        <w:rPr>
          <w:rFonts w:ascii="Garamond" w:hAnsi="Garamond" w:cs="Times New Roman"/>
          <w:sz w:val="24"/>
          <w:szCs w:val="24"/>
        </w:rPr>
        <w:t>ivindicaban su estima pública. Al respecto, l</w:t>
      </w:r>
      <w:r w:rsidRPr="00A2680F">
        <w:rPr>
          <w:rFonts w:ascii="Garamond" w:hAnsi="Garamond" w:cs="Times New Roman"/>
          <w:sz w:val="24"/>
          <w:szCs w:val="24"/>
        </w:rPr>
        <w:t xml:space="preserve">a </w:t>
      </w:r>
      <w:r w:rsidR="009A3DD0" w:rsidRPr="00A2680F">
        <w:rPr>
          <w:rFonts w:ascii="Garamond" w:hAnsi="Garamond" w:cs="Times New Roman"/>
          <w:sz w:val="24"/>
          <w:szCs w:val="24"/>
        </w:rPr>
        <w:t>segund</w:t>
      </w:r>
      <w:r w:rsidRPr="00A2680F">
        <w:rPr>
          <w:rFonts w:ascii="Garamond" w:hAnsi="Garamond" w:cs="Times New Roman"/>
          <w:sz w:val="24"/>
          <w:szCs w:val="24"/>
        </w:rPr>
        <w:t xml:space="preserve">a pregunta decía: </w:t>
      </w:r>
      <w:r w:rsidRPr="00A2680F">
        <w:rPr>
          <w:rFonts w:ascii="Garamond" w:hAnsi="Garamond" w:cs="Times New Roman"/>
          <w:i/>
          <w:iCs/>
          <w:sz w:val="24"/>
          <w:szCs w:val="24"/>
        </w:rPr>
        <w:t>“Digan de nuestra vida y costumbres si hemos procedido y procedemos como buenos cristianos, guardando los preceptos divinos y humanos, sin dar escándalo, ni hacer mal a nadie de palabra ni de obra”</w:t>
      </w:r>
      <w:r w:rsidRPr="00A2680F">
        <w:rPr>
          <w:rStyle w:val="Refdenotaalpie"/>
          <w:rFonts w:ascii="Garamond" w:hAnsi="Garamond" w:cs="Times New Roman"/>
          <w:sz w:val="24"/>
          <w:szCs w:val="24"/>
        </w:rPr>
        <w:footnoteReference w:id="72"/>
      </w:r>
      <w:r w:rsidR="00E10594" w:rsidRPr="00A2680F">
        <w:rPr>
          <w:rFonts w:ascii="Garamond" w:hAnsi="Garamond" w:cs="Times New Roman"/>
          <w:sz w:val="24"/>
          <w:szCs w:val="24"/>
        </w:rPr>
        <w:t>.</w:t>
      </w:r>
      <w:r w:rsidRPr="00A2680F">
        <w:rPr>
          <w:rFonts w:ascii="Garamond" w:hAnsi="Garamond" w:cs="Times New Roman"/>
          <w:sz w:val="24"/>
          <w:szCs w:val="24"/>
        </w:rPr>
        <w:t xml:space="preserve"> </w:t>
      </w:r>
      <w:r w:rsidR="00CD1935" w:rsidRPr="00A2680F">
        <w:rPr>
          <w:rFonts w:ascii="Garamond" w:hAnsi="Garamond" w:cs="Times New Roman"/>
          <w:sz w:val="24"/>
          <w:szCs w:val="24"/>
        </w:rPr>
        <w:t xml:space="preserve">Se puede observar que el énfasis </w:t>
      </w:r>
      <w:r w:rsidR="009D1C24" w:rsidRPr="00A2680F">
        <w:rPr>
          <w:rFonts w:ascii="Garamond" w:hAnsi="Garamond" w:cs="Times New Roman"/>
          <w:sz w:val="24"/>
          <w:szCs w:val="24"/>
        </w:rPr>
        <w:t>de</w:t>
      </w:r>
      <w:r w:rsidR="00D714D6" w:rsidRPr="00A2680F">
        <w:rPr>
          <w:rFonts w:ascii="Garamond" w:hAnsi="Garamond" w:cs="Times New Roman"/>
          <w:sz w:val="24"/>
          <w:szCs w:val="24"/>
        </w:rPr>
        <w:t xml:space="preserve"> don Javier</w:t>
      </w:r>
      <w:r w:rsidR="009D1C24" w:rsidRPr="00A2680F">
        <w:rPr>
          <w:rFonts w:ascii="Garamond" w:hAnsi="Garamond" w:cs="Times New Roman"/>
          <w:sz w:val="24"/>
          <w:szCs w:val="24"/>
        </w:rPr>
        <w:t xml:space="preserve"> </w:t>
      </w:r>
      <w:r w:rsidR="00CD1935" w:rsidRPr="00A2680F">
        <w:rPr>
          <w:rFonts w:ascii="Garamond" w:hAnsi="Garamond" w:cs="Times New Roman"/>
          <w:sz w:val="24"/>
          <w:szCs w:val="24"/>
        </w:rPr>
        <w:t xml:space="preserve">estuvo en </w:t>
      </w:r>
      <w:r w:rsidR="009D1C24" w:rsidRPr="00A2680F">
        <w:rPr>
          <w:rFonts w:ascii="Garamond" w:hAnsi="Garamond" w:cs="Times New Roman"/>
          <w:sz w:val="24"/>
          <w:szCs w:val="24"/>
        </w:rPr>
        <w:t>su</w:t>
      </w:r>
      <w:r w:rsidR="00CD1935" w:rsidRPr="00A2680F">
        <w:rPr>
          <w:rFonts w:ascii="Garamond" w:hAnsi="Garamond" w:cs="Times New Roman"/>
          <w:sz w:val="24"/>
          <w:szCs w:val="24"/>
        </w:rPr>
        <w:t xml:space="preserve"> conducta intachable en términos religiosos y laicos</w:t>
      </w:r>
      <w:r w:rsidR="009D1C24" w:rsidRPr="00A2680F">
        <w:rPr>
          <w:rFonts w:ascii="Garamond" w:hAnsi="Garamond" w:cs="Times New Roman"/>
          <w:sz w:val="24"/>
          <w:szCs w:val="24"/>
        </w:rPr>
        <w:t>, por lo que su vida era tranquila al seguir al pie de la letra el modelo</w:t>
      </w:r>
      <w:r w:rsidR="00147C4F" w:rsidRPr="00A2680F">
        <w:rPr>
          <w:rFonts w:ascii="Garamond" w:hAnsi="Garamond" w:cs="Times New Roman"/>
          <w:sz w:val="24"/>
          <w:szCs w:val="24"/>
        </w:rPr>
        <w:t xml:space="preserve"> de vida</w:t>
      </w:r>
      <w:r w:rsidR="009D1C24" w:rsidRPr="00A2680F">
        <w:rPr>
          <w:rFonts w:ascii="Garamond" w:hAnsi="Garamond" w:cs="Times New Roman"/>
          <w:sz w:val="24"/>
          <w:szCs w:val="24"/>
        </w:rPr>
        <w:t xml:space="preserve"> cristian</w:t>
      </w:r>
      <w:r w:rsidR="00147C4F" w:rsidRPr="00A2680F">
        <w:rPr>
          <w:rFonts w:ascii="Garamond" w:hAnsi="Garamond" w:cs="Times New Roman"/>
          <w:sz w:val="24"/>
          <w:szCs w:val="24"/>
        </w:rPr>
        <w:t>a que predicaba la Iglesia</w:t>
      </w:r>
      <w:r w:rsidR="009D1C24" w:rsidRPr="00A2680F">
        <w:rPr>
          <w:rFonts w:ascii="Garamond" w:hAnsi="Garamond" w:cs="Times New Roman"/>
          <w:sz w:val="24"/>
          <w:szCs w:val="24"/>
        </w:rPr>
        <w:t>. Gómez no dejaba duda de q</w:t>
      </w:r>
      <w:r w:rsidR="008A2477" w:rsidRPr="00A2680F">
        <w:rPr>
          <w:rFonts w:ascii="Garamond" w:hAnsi="Garamond" w:cs="Times New Roman"/>
          <w:sz w:val="24"/>
          <w:szCs w:val="24"/>
        </w:rPr>
        <w:t xml:space="preserve">ue jamás </w:t>
      </w:r>
      <w:r w:rsidR="009D1C24" w:rsidRPr="00A2680F">
        <w:rPr>
          <w:rFonts w:ascii="Garamond" w:hAnsi="Garamond" w:cs="Times New Roman"/>
          <w:sz w:val="24"/>
          <w:szCs w:val="24"/>
        </w:rPr>
        <w:t xml:space="preserve">se había envuelto en </w:t>
      </w:r>
      <w:r w:rsidR="00801E52" w:rsidRPr="00A2680F">
        <w:rPr>
          <w:rFonts w:ascii="Garamond" w:hAnsi="Garamond" w:cs="Times New Roman"/>
          <w:sz w:val="24"/>
          <w:szCs w:val="24"/>
        </w:rPr>
        <w:t>alg</w:t>
      </w:r>
      <w:r w:rsidR="009D1C24" w:rsidRPr="00A2680F">
        <w:rPr>
          <w:rFonts w:ascii="Garamond" w:hAnsi="Garamond" w:cs="Times New Roman"/>
          <w:sz w:val="24"/>
          <w:szCs w:val="24"/>
        </w:rPr>
        <w:t>ún tipo de alboroto o altercad</w:t>
      </w:r>
      <w:r w:rsidR="00801E52" w:rsidRPr="00A2680F">
        <w:rPr>
          <w:rFonts w:ascii="Garamond" w:hAnsi="Garamond" w:cs="Times New Roman"/>
          <w:sz w:val="24"/>
          <w:szCs w:val="24"/>
        </w:rPr>
        <w:t>o</w:t>
      </w:r>
      <w:r w:rsidR="009D1C24" w:rsidRPr="00A2680F">
        <w:rPr>
          <w:rFonts w:ascii="Garamond" w:hAnsi="Garamond" w:cs="Times New Roman"/>
          <w:sz w:val="24"/>
          <w:szCs w:val="24"/>
        </w:rPr>
        <w:t xml:space="preserve"> con </w:t>
      </w:r>
      <w:r w:rsidR="008A2477" w:rsidRPr="00A2680F">
        <w:rPr>
          <w:rFonts w:ascii="Garamond" w:hAnsi="Garamond" w:cs="Times New Roman"/>
          <w:sz w:val="24"/>
          <w:szCs w:val="24"/>
        </w:rPr>
        <w:t>al</w:t>
      </w:r>
      <w:r w:rsidR="009D1C24" w:rsidRPr="00A2680F">
        <w:rPr>
          <w:rFonts w:ascii="Garamond" w:hAnsi="Garamond" w:cs="Times New Roman"/>
          <w:sz w:val="24"/>
          <w:szCs w:val="24"/>
        </w:rPr>
        <w:t xml:space="preserve">gún vecino, ni que había alterado la paz del vecindario. </w:t>
      </w:r>
      <w:r w:rsidR="00801E52" w:rsidRPr="00A2680F">
        <w:rPr>
          <w:rFonts w:ascii="Garamond" w:hAnsi="Garamond" w:cs="Times New Roman"/>
          <w:sz w:val="24"/>
          <w:szCs w:val="24"/>
        </w:rPr>
        <w:t xml:space="preserve">Los diversos testimonios presentaron la arreglada conducta de </w:t>
      </w:r>
      <w:r w:rsidR="008A2477" w:rsidRPr="00A2680F">
        <w:rPr>
          <w:rFonts w:ascii="Garamond" w:hAnsi="Garamond" w:cs="Times New Roman"/>
          <w:sz w:val="24"/>
          <w:szCs w:val="24"/>
        </w:rPr>
        <w:t>don Javier</w:t>
      </w:r>
      <w:r w:rsidR="00801E52" w:rsidRPr="00A2680F">
        <w:rPr>
          <w:rFonts w:ascii="Garamond" w:hAnsi="Garamond" w:cs="Times New Roman"/>
          <w:sz w:val="24"/>
          <w:szCs w:val="24"/>
        </w:rPr>
        <w:t xml:space="preserve"> y su mujer, pues Asensio Josef Mejía explicitó que </w:t>
      </w:r>
      <w:r w:rsidR="00801E52" w:rsidRPr="00A2680F">
        <w:rPr>
          <w:rFonts w:ascii="Garamond" w:hAnsi="Garamond" w:cs="Times New Roman"/>
          <w:i/>
          <w:iCs/>
          <w:sz w:val="24"/>
          <w:szCs w:val="24"/>
        </w:rPr>
        <w:t>“los ha conocido por buenos cristianos que no les ha notado acción de mal ejemplo, ni lo ha oído decir, y que son de buena vida y costumbres, y que les ha visto cumplir con los divinos preceptos, sin hacer daño a nadie”</w:t>
      </w:r>
      <w:r w:rsidR="000839BA" w:rsidRPr="00A2680F">
        <w:rPr>
          <w:rStyle w:val="Refdenotaalpie"/>
          <w:rFonts w:ascii="Garamond" w:hAnsi="Garamond" w:cs="Times New Roman"/>
          <w:sz w:val="24"/>
          <w:szCs w:val="24"/>
        </w:rPr>
        <w:footnoteReference w:id="73"/>
      </w:r>
      <w:r w:rsidR="00E10594" w:rsidRPr="00A2680F">
        <w:rPr>
          <w:rFonts w:ascii="Garamond" w:hAnsi="Garamond" w:cs="Times New Roman"/>
          <w:sz w:val="24"/>
          <w:szCs w:val="24"/>
        </w:rPr>
        <w:t>.</w:t>
      </w:r>
      <w:r w:rsidR="009D1C24" w:rsidRPr="00A2680F">
        <w:rPr>
          <w:rFonts w:ascii="Garamond" w:hAnsi="Garamond" w:cs="Times New Roman"/>
          <w:sz w:val="24"/>
          <w:szCs w:val="24"/>
        </w:rPr>
        <w:t xml:space="preserve"> </w:t>
      </w:r>
      <w:r w:rsidR="00480102" w:rsidRPr="00A2680F">
        <w:rPr>
          <w:rFonts w:ascii="Garamond" w:hAnsi="Garamond" w:cs="Times New Roman"/>
          <w:sz w:val="24"/>
          <w:szCs w:val="24"/>
        </w:rPr>
        <w:t xml:space="preserve"> </w:t>
      </w:r>
    </w:p>
    <w:p w14:paraId="68EA024A" w14:textId="77777777" w:rsidR="00316FFC" w:rsidRPr="00A2680F" w:rsidRDefault="00316FFC" w:rsidP="00A2680F">
      <w:pPr>
        <w:jc w:val="both"/>
        <w:rPr>
          <w:rFonts w:ascii="Garamond" w:hAnsi="Garamond" w:cs="Times New Roman"/>
          <w:sz w:val="24"/>
          <w:szCs w:val="24"/>
        </w:rPr>
      </w:pPr>
    </w:p>
    <w:p w14:paraId="7986AB88" w14:textId="4BAC0D0A" w:rsidR="00C01B32" w:rsidRPr="00A2680F" w:rsidRDefault="00147C4F" w:rsidP="00A2680F">
      <w:pPr>
        <w:jc w:val="both"/>
        <w:rPr>
          <w:rFonts w:ascii="Garamond" w:hAnsi="Garamond" w:cs="Times New Roman"/>
          <w:sz w:val="24"/>
          <w:szCs w:val="24"/>
        </w:rPr>
      </w:pPr>
      <w:r w:rsidRPr="00A2680F">
        <w:rPr>
          <w:rFonts w:ascii="Garamond" w:hAnsi="Garamond" w:cs="Times New Roman"/>
          <w:sz w:val="24"/>
          <w:szCs w:val="24"/>
        </w:rPr>
        <w:t>A</w:t>
      </w:r>
      <w:r w:rsidR="00C01B32" w:rsidRPr="00A2680F">
        <w:rPr>
          <w:rFonts w:ascii="Garamond" w:hAnsi="Garamond" w:cs="Times New Roman"/>
          <w:sz w:val="24"/>
          <w:szCs w:val="24"/>
        </w:rPr>
        <w:t>simismo, Gómez mostró que su honor se sustentaba en la contención de la violencia</w:t>
      </w:r>
      <w:r w:rsidR="00E10594" w:rsidRPr="00A2680F">
        <w:rPr>
          <w:rStyle w:val="Refdenotaalpie"/>
          <w:rFonts w:ascii="Garamond" w:hAnsi="Garamond" w:cs="Times New Roman"/>
          <w:sz w:val="24"/>
          <w:szCs w:val="24"/>
        </w:rPr>
        <w:footnoteReference w:id="74"/>
      </w:r>
      <w:r w:rsidR="00C01B32" w:rsidRPr="00A2680F">
        <w:rPr>
          <w:rFonts w:ascii="Garamond" w:hAnsi="Garamond" w:cs="Times New Roman"/>
          <w:sz w:val="24"/>
          <w:szCs w:val="24"/>
        </w:rPr>
        <w:t>, contrario a las acusaciones de su esclava, quien había argumentado que haberle</w:t>
      </w:r>
      <w:r w:rsidR="002227A1" w:rsidRPr="00A2680F">
        <w:rPr>
          <w:rFonts w:ascii="Garamond" w:hAnsi="Garamond" w:cs="Times New Roman"/>
          <w:sz w:val="24"/>
          <w:szCs w:val="24"/>
        </w:rPr>
        <w:t>s</w:t>
      </w:r>
      <w:r w:rsidR="00C01B32" w:rsidRPr="00A2680F">
        <w:rPr>
          <w:rFonts w:ascii="Garamond" w:hAnsi="Garamond" w:cs="Times New Roman"/>
          <w:sz w:val="24"/>
          <w:szCs w:val="24"/>
        </w:rPr>
        <w:t xml:space="preserve"> quitado la vida a sus propias hijas había sido una decisión para salvarlas de una </w:t>
      </w:r>
      <w:r w:rsidR="008A2477" w:rsidRPr="00A2680F">
        <w:rPr>
          <w:rFonts w:ascii="Garamond" w:hAnsi="Garamond" w:cs="Times New Roman"/>
          <w:sz w:val="24"/>
          <w:szCs w:val="24"/>
        </w:rPr>
        <w:t>existenci</w:t>
      </w:r>
      <w:r w:rsidR="00C01B32" w:rsidRPr="00A2680F">
        <w:rPr>
          <w:rFonts w:ascii="Garamond" w:hAnsi="Garamond" w:cs="Times New Roman"/>
          <w:sz w:val="24"/>
          <w:szCs w:val="24"/>
        </w:rPr>
        <w:t>a</w:t>
      </w:r>
      <w:r w:rsidR="00CE2636" w:rsidRPr="00A2680F">
        <w:rPr>
          <w:rFonts w:ascii="Garamond" w:hAnsi="Garamond" w:cs="Times New Roman"/>
          <w:sz w:val="24"/>
          <w:szCs w:val="24"/>
        </w:rPr>
        <w:t xml:space="preserve"> infeliz</w:t>
      </w:r>
      <w:r w:rsidR="00C01B32" w:rsidRPr="00A2680F">
        <w:rPr>
          <w:rFonts w:ascii="Garamond" w:hAnsi="Garamond" w:cs="Times New Roman"/>
          <w:sz w:val="24"/>
          <w:szCs w:val="24"/>
        </w:rPr>
        <w:t xml:space="preserve"> llena de maltratos y humillaciones</w:t>
      </w:r>
      <w:r w:rsidRPr="00A2680F">
        <w:rPr>
          <w:rFonts w:ascii="Garamond" w:hAnsi="Garamond" w:cs="Times New Roman"/>
          <w:sz w:val="24"/>
          <w:szCs w:val="24"/>
        </w:rPr>
        <w:t xml:space="preserve"> al lado de sus amos</w:t>
      </w:r>
      <w:r w:rsidR="00C01B32" w:rsidRPr="00A2680F">
        <w:rPr>
          <w:rFonts w:ascii="Garamond" w:hAnsi="Garamond" w:cs="Times New Roman"/>
          <w:sz w:val="24"/>
          <w:szCs w:val="24"/>
        </w:rPr>
        <w:t xml:space="preserve">. De esta manera, don Josef Javier planteó la siguiente pregunta: </w:t>
      </w:r>
      <w:r w:rsidR="00C01B32" w:rsidRPr="00A2680F">
        <w:rPr>
          <w:rFonts w:ascii="Garamond" w:hAnsi="Garamond" w:cs="Times New Roman"/>
          <w:i/>
          <w:iCs/>
          <w:sz w:val="24"/>
          <w:szCs w:val="24"/>
        </w:rPr>
        <w:t>“Digan si saben seamos gente mal humorada y terrible, prontos a la ira, feroces, implacables o de índole tiránica y falta de caridad o por el contrario les consta por lo que saben lo han oído y es común sentir que somos (por la bendita gracia de Dios) gente noble, educada en el santo temor de Dios, exenta de toda sospecha de impiedad”</w:t>
      </w:r>
      <w:r w:rsidR="00C01B32" w:rsidRPr="00A2680F">
        <w:rPr>
          <w:rStyle w:val="Refdenotaalpie"/>
          <w:rFonts w:ascii="Garamond" w:hAnsi="Garamond" w:cs="Times New Roman"/>
          <w:sz w:val="24"/>
          <w:szCs w:val="24"/>
        </w:rPr>
        <w:footnoteReference w:id="75"/>
      </w:r>
      <w:r w:rsidR="00C254AB" w:rsidRPr="00A2680F">
        <w:rPr>
          <w:rFonts w:ascii="Garamond" w:hAnsi="Garamond" w:cs="Times New Roman"/>
          <w:sz w:val="24"/>
          <w:szCs w:val="24"/>
        </w:rPr>
        <w:t>.</w:t>
      </w:r>
      <w:r w:rsidR="00C01B32" w:rsidRPr="00A2680F">
        <w:rPr>
          <w:rFonts w:ascii="Garamond" w:hAnsi="Garamond" w:cs="Times New Roman"/>
          <w:sz w:val="24"/>
          <w:szCs w:val="24"/>
        </w:rPr>
        <w:t xml:space="preserve"> Gómez buscaba demostrar que </w:t>
      </w:r>
      <w:r w:rsidR="00635EFC" w:rsidRPr="00A2680F">
        <w:rPr>
          <w:rFonts w:ascii="Garamond" w:hAnsi="Garamond" w:cs="Times New Roman"/>
          <w:sz w:val="24"/>
          <w:szCs w:val="24"/>
        </w:rPr>
        <w:t>no</w:t>
      </w:r>
      <w:r w:rsidR="00C01B32" w:rsidRPr="00A2680F">
        <w:rPr>
          <w:rFonts w:ascii="Garamond" w:hAnsi="Garamond" w:cs="Times New Roman"/>
          <w:sz w:val="24"/>
          <w:szCs w:val="24"/>
        </w:rPr>
        <w:t xml:space="preserve"> se le podía catalogar de violento, inhumano ni cruel</w:t>
      </w:r>
      <w:r w:rsidR="00635EFC" w:rsidRPr="00A2680F">
        <w:rPr>
          <w:rFonts w:ascii="Garamond" w:hAnsi="Garamond" w:cs="Times New Roman"/>
          <w:sz w:val="24"/>
          <w:szCs w:val="24"/>
        </w:rPr>
        <w:t xml:space="preserve"> en ningún ámbito de </w:t>
      </w:r>
      <w:r w:rsidR="00840BB6" w:rsidRPr="00A2680F">
        <w:rPr>
          <w:rFonts w:ascii="Garamond" w:hAnsi="Garamond" w:cs="Times New Roman"/>
          <w:sz w:val="24"/>
          <w:szCs w:val="24"/>
        </w:rPr>
        <w:t>la vida social, ni con sus cauti</w:t>
      </w:r>
      <w:r w:rsidR="00635EFC" w:rsidRPr="00A2680F">
        <w:rPr>
          <w:rFonts w:ascii="Garamond" w:hAnsi="Garamond" w:cs="Times New Roman"/>
          <w:sz w:val="24"/>
          <w:szCs w:val="24"/>
        </w:rPr>
        <w:t xml:space="preserve">vas. Tampoco se le podía tildar de una persona de mal carácter ni colérica que cometiera algún tipo de improperios. </w:t>
      </w:r>
      <w:r w:rsidR="00DC55BE" w:rsidRPr="00A2680F">
        <w:rPr>
          <w:rFonts w:ascii="Garamond" w:hAnsi="Garamond" w:cs="Times New Roman"/>
          <w:sz w:val="24"/>
          <w:szCs w:val="24"/>
        </w:rPr>
        <w:t xml:space="preserve">De esta manera, don Josef Javier </w:t>
      </w:r>
      <w:r w:rsidR="009A3DD0" w:rsidRPr="00A2680F">
        <w:rPr>
          <w:rFonts w:ascii="Garamond" w:hAnsi="Garamond" w:cs="Times New Roman"/>
          <w:sz w:val="24"/>
          <w:szCs w:val="24"/>
        </w:rPr>
        <w:t>solicitó</w:t>
      </w:r>
      <w:r w:rsidR="00DC55BE" w:rsidRPr="00A2680F">
        <w:rPr>
          <w:rFonts w:ascii="Garamond" w:hAnsi="Garamond" w:cs="Times New Roman"/>
          <w:sz w:val="24"/>
          <w:szCs w:val="24"/>
        </w:rPr>
        <w:t xml:space="preserve"> el testimonio de Antonio Gordillo, quien dijo que </w:t>
      </w:r>
      <w:r w:rsidR="00DC55BE" w:rsidRPr="00A2680F">
        <w:rPr>
          <w:rFonts w:ascii="Garamond" w:hAnsi="Garamond" w:cs="Times New Roman"/>
          <w:i/>
          <w:iCs/>
          <w:sz w:val="24"/>
          <w:szCs w:val="24"/>
        </w:rPr>
        <w:t>“que no sabe ni ha oído decir sean genio airado, ni demás que consta en la pregunta, que antes por el contrario le consta son piadosos, gente noble y temerosos de Dios”</w:t>
      </w:r>
      <w:r w:rsidR="00DC55BE" w:rsidRPr="00A2680F">
        <w:rPr>
          <w:rStyle w:val="Refdenotaalpie"/>
          <w:rFonts w:ascii="Garamond" w:hAnsi="Garamond" w:cs="Times New Roman"/>
          <w:sz w:val="24"/>
          <w:szCs w:val="24"/>
        </w:rPr>
        <w:footnoteReference w:id="76"/>
      </w:r>
      <w:r w:rsidR="00C254AB" w:rsidRPr="00A2680F">
        <w:rPr>
          <w:rFonts w:ascii="Garamond" w:hAnsi="Garamond" w:cs="Times New Roman"/>
          <w:sz w:val="24"/>
          <w:szCs w:val="24"/>
        </w:rPr>
        <w:t>.</w:t>
      </w:r>
      <w:r w:rsidR="00635EFC" w:rsidRPr="00A2680F">
        <w:rPr>
          <w:rFonts w:ascii="Garamond" w:hAnsi="Garamond" w:cs="Times New Roman"/>
          <w:sz w:val="24"/>
          <w:szCs w:val="24"/>
        </w:rPr>
        <w:t xml:space="preserve"> </w:t>
      </w:r>
      <w:r w:rsidR="00C01B32" w:rsidRPr="00A2680F">
        <w:rPr>
          <w:rFonts w:ascii="Garamond" w:hAnsi="Garamond" w:cs="Times New Roman"/>
          <w:sz w:val="24"/>
          <w:szCs w:val="24"/>
        </w:rPr>
        <w:t xml:space="preserve"> </w:t>
      </w:r>
    </w:p>
    <w:p w14:paraId="272B0DC5" w14:textId="77777777" w:rsidR="00316FFC" w:rsidRPr="00A2680F" w:rsidRDefault="00316FFC" w:rsidP="00A2680F">
      <w:pPr>
        <w:jc w:val="both"/>
        <w:rPr>
          <w:rFonts w:ascii="Garamond" w:hAnsi="Garamond" w:cs="Times New Roman"/>
          <w:sz w:val="24"/>
          <w:szCs w:val="24"/>
        </w:rPr>
      </w:pPr>
    </w:p>
    <w:p w14:paraId="3E6F8C39" w14:textId="2F18EF13" w:rsidR="00054CC5" w:rsidRPr="00A2680F" w:rsidRDefault="009A3DD0" w:rsidP="00A2680F">
      <w:pPr>
        <w:jc w:val="both"/>
        <w:rPr>
          <w:rFonts w:ascii="Garamond" w:hAnsi="Garamond" w:cs="Times New Roman"/>
          <w:sz w:val="24"/>
          <w:szCs w:val="24"/>
        </w:rPr>
      </w:pPr>
      <w:r w:rsidRPr="00A2680F">
        <w:rPr>
          <w:rFonts w:ascii="Garamond" w:hAnsi="Garamond" w:cs="Times New Roman"/>
          <w:sz w:val="24"/>
          <w:szCs w:val="24"/>
        </w:rPr>
        <w:t>Finalmente, l</w:t>
      </w:r>
      <w:r w:rsidR="000F48BD" w:rsidRPr="00A2680F">
        <w:rPr>
          <w:rFonts w:ascii="Garamond" w:hAnsi="Garamond" w:cs="Times New Roman"/>
          <w:sz w:val="24"/>
          <w:szCs w:val="24"/>
        </w:rPr>
        <w:t xml:space="preserve">a </w:t>
      </w:r>
      <w:r w:rsidRPr="00A2680F">
        <w:rPr>
          <w:rFonts w:ascii="Garamond" w:hAnsi="Garamond" w:cs="Times New Roman"/>
          <w:sz w:val="24"/>
          <w:szCs w:val="24"/>
        </w:rPr>
        <w:t>quinta</w:t>
      </w:r>
      <w:r w:rsidR="000F48BD" w:rsidRPr="00A2680F">
        <w:rPr>
          <w:rFonts w:ascii="Garamond" w:hAnsi="Garamond" w:cs="Times New Roman"/>
          <w:sz w:val="24"/>
          <w:szCs w:val="24"/>
        </w:rPr>
        <w:t xml:space="preserve"> pregunta buscaba reiterar los valores cristianos vivenciados</w:t>
      </w:r>
      <w:r w:rsidR="00840BB6" w:rsidRPr="00A2680F">
        <w:rPr>
          <w:rFonts w:ascii="Garamond" w:hAnsi="Garamond" w:cs="Times New Roman"/>
          <w:sz w:val="24"/>
          <w:szCs w:val="24"/>
        </w:rPr>
        <w:t xml:space="preserve"> por don Josef Javier y doña Victoria</w:t>
      </w:r>
      <w:r w:rsidR="000F48BD" w:rsidRPr="00A2680F">
        <w:rPr>
          <w:rFonts w:ascii="Garamond" w:hAnsi="Garamond" w:cs="Times New Roman"/>
          <w:sz w:val="24"/>
          <w:szCs w:val="24"/>
        </w:rPr>
        <w:t xml:space="preserve">, pues su comportamiento no dejaba dudas </w:t>
      </w:r>
      <w:r w:rsidRPr="00A2680F">
        <w:rPr>
          <w:rFonts w:ascii="Garamond" w:hAnsi="Garamond" w:cs="Times New Roman"/>
          <w:sz w:val="24"/>
          <w:szCs w:val="24"/>
        </w:rPr>
        <w:t xml:space="preserve">de </w:t>
      </w:r>
      <w:r w:rsidR="000F48BD" w:rsidRPr="00A2680F">
        <w:rPr>
          <w:rFonts w:ascii="Garamond" w:hAnsi="Garamond" w:cs="Times New Roman"/>
          <w:sz w:val="24"/>
          <w:szCs w:val="24"/>
        </w:rPr>
        <w:t xml:space="preserve">que </w:t>
      </w:r>
      <w:r w:rsidR="000F48BD" w:rsidRPr="00A2680F">
        <w:rPr>
          <w:rFonts w:ascii="Garamond" w:hAnsi="Garamond" w:cs="Times New Roman"/>
          <w:i/>
          <w:iCs/>
          <w:sz w:val="24"/>
          <w:szCs w:val="24"/>
        </w:rPr>
        <w:t>“</w:t>
      </w:r>
      <w:r w:rsidR="00B253D1" w:rsidRPr="00A2680F">
        <w:rPr>
          <w:rFonts w:ascii="Garamond" w:hAnsi="Garamond" w:cs="Times New Roman"/>
          <w:i/>
          <w:iCs/>
          <w:sz w:val="24"/>
          <w:szCs w:val="24"/>
        </w:rPr>
        <w:t>con nuestros prójimos a quienes amamos con la caridad cristiana y somos agradables, pacíficos y amistosos, mansos y humildes con todos</w:t>
      </w:r>
      <w:r w:rsidR="000F48BD" w:rsidRPr="00A2680F">
        <w:rPr>
          <w:rFonts w:ascii="Garamond" w:hAnsi="Garamond" w:cs="Times New Roman"/>
          <w:i/>
          <w:iCs/>
          <w:sz w:val="24"/>
          <w:szCs w:val="24"/>
        </w:rPr>
        <w:t>”</w:t>
      </w:r>
      <w:r w:rsidR="000F48BD" w:rsidRPr="00A2680F">
        <w:rPr>
          <w:rStyle w:val="Refdenotaalpie"/>
          <w:rFonts w:ascii="Garamond" w:hAnsi="Garamond" w:cs="Times New Roman"/>
          <w:sz w:val="24"/>
          <w:szCs w:val="24"/>
        </w:rPr>
        <w:footnoteReference w:id="77"/>
      </w:r>
      <w:r w:rsidR="00C254AB" w:rsidRPr="00A2680F">
        <w:rPr>
          <w:rFonts w:ascii="Garamond" w:hAnsi="Garamond" w:cs="Times New Roman"/>
          <w:sz w:val="24"/>
          <w:szCs w:val="24"/>
        </w:rPr>
        <w:t>.</w:t>
      </w:r>
      <w:r w:rsidR="000F48BD" w:rsidRPr="00A2680F">
        <w:rPr>
          <w:rFonts w:ascii="Garamond" w:hAnsi="Garamond" w:cs="Times New Roman"/>
          <w:sz w:val="24"/>
          <w:szCs w:val="24"/>
        </w:rPr>
        <w:t xml:space="preserve"> </w:t>
      </w:r>
      <w:r w:rsidR="00E42AFB" w:rsidRPr="00A2680F">
        <w:rPr>
          <w:rFonts w:ascii="Garamond" w:hAnsi="Garamond" w:cs="Times New Roman"/>
          <w:sz w:val="24"/>
          <w:szCs w:val="24"/>
        </w:rPr>
        <w:t>De este modo, Juan Josef Moreno para h</w:t>
      </w:r>
      <w:r w:rsidR="0075667B" w:rsidRPr="00A2680F">
        <w:rPr>
          <w:rFonts w:ascii="Garamond" w:hAnsi="Garamond" w:cs="Times New Roman"/>
          <w:sz w:val="24"/>
          <w:szCs w:val="24"/>
        </w:rPr>
        <w:t xml:space="preserve">acerle ganar el significado sustancial al honor </w:t>
      </w:r>
      <w:r w:rsidR="00E42AFB" w:rsidRPr="00A2680F">
        <w:rPr>
          <w:rFonts w:ascii="Garamond" w:hAnsi="Garamond" w:cs="Times New Roman"/>
          <w:sz w:val="24"/>
          <w:szCs w:val="24"/>
        </w:rPr>
        <w:t xml:space="preserve">de Gómez </w:t>
      </w:r>
      <w:r w:rsidR="00E42AFB" w:rsidRPr="00A2680F">
        <w:rPr>
          <w:rFonts w:ascii="Garamond" w:hAnsi="Garamond" w:cs="Times New Roman"/>
          <w:sz w:val="24"/>
          <w:szCs w:val="24"/>
        </w:rPr>
        <w:lastRenderedPageBreak/>
        <w:t>ratificó el contenido de la pregunta</w:t>
      </w:r>
      <w:r w:rsidR="00E42AFB" w:rsidRPr="00A2680F">
        <w:rPr>
          <w:rStyle w:val="Refdenotaalpie"/>
          <w:rFonts w:ascii="Garamond" w:hAnsi="Garamond" w:cs="Times New Roman"/>
          <w:sz w:val="24"/>
          <w:szCs w:val="24"/>
        </w:rPr>
        <w:footnoteReference w:id="78"/>
      </w:r>
      <w:r w:rsidR="00C254AB" w:rsidRPr="00A2680F">
        <w:rPr>
          <w:rFonts w:ascii="Garamond" w:hAnsi="Garamond" w:cs="Times New Roman"/>
          <w:sz w:val="24"/>
          <w:szCs w:val="24"/>
        </w:rPr>
        <w:t>.</w:t>
      </w:r>
      <w:r w:rsidR="00E42AFB" w:rsidRPr="00A2680F">
        <w:rPr>
          <w:rFonts w:ascii="Garamond" w:hAnsi="Garamond" w:cs="Times New Roman"/>
          <w:sz w:val="24"/>
          <w:szCs w:val="24"/>
        </w:rPr>
        <w:t xml:space="preserve"> </w:t>
      </w:r>
      <w:r w:rsidR="00E32963" w:rsidRPr="00A2680F">
        <w:rPr>
          <w:rFonts w:ascii="Garamond" w:hAnsi="Garamond" w:cs="Times New Roman"/>
          <w:sz w:val="24"/>
          <w:szCs w:val="24"/>
        </w:rPr>
        <w:t>En definitiva, el posible en</w:t>
      </w:r>
      <w:r w:rsidR="008A2477" w:rsidRPr="00A2680F">
        <w:rPr>
          <w:rFonts w:ascii="Garamond" w:hAnsi="Garamond" w:cs="Times New Roman"/>
          <w:sz w:val="24"/>
          <w:szCs w:val="24"/>
        </w:rPr>
        <w:t>cubri</w:t>
      </w:r>
      <w:r w:rsidR="00E32963" w:rsidRPr="00A2680F">
        <w:rPr>
          <w:rFonts w:ascii="Garamond" w:hAnsi="Garamond" w:cs="Times New Roman"/>
          <w:sz w:val="24"/>
          <w:szCs w:val="24"/>
        </w:rPr>
        <w:t xml:space="preserve">miento en un caso de doble filicidio fue un </w:t>
      </w:r>
      <w:r w:rsidR="005914B7" w:rsidRPr="00A2680F">
        <w:rPr>
          <w:rFonts w:ascii="Garamond" w:hAnsi="Garamond" w:cs="Times New Roman"/>
          <w:sz w:val="24"/>
          <w:szCs w:val="24"/>
        </w:rPr>
        <w:t>factor</w:t>
      </w:r>
      <w:r w:rsidR="00E32963" w:rsidRPr="00A2680F">
        <w:rPr>
          <w:rFonts w:ascii="Garamond" w:hAnsi="Garamond" w:cs="Times New Roman"/>
          <w:sz w:val="24"/>
          <w:szCs w:val="24"/>
        </w:rPr>
        <w:t xml:space="preserve"> estratégico de Gómez para reforzar no sólo su honor de reputación y comportamiento en la sociedad, sino para darle consistencia a su dominación como amo, como aquel que en su trato cotidiano con sus esclavas no había provocado el fatal desenlace. </w:t>
      </w:r>
      <w:r w:rsidR="00E92B54" w:rsidRPr="00A2680F">
        <w:rPr>
          <w:rFonts w:ascii="Garamond" w:hAnsi="Garamond" w:cs="Times New Roman"/>
          <w:sz w:val="24"/>
          <w:szCs w:val="24"/>
        </w:rPr>
        <w:t>Igualmente, fue la oportunidad para buscar direccionar el peso de la justicia en la infanticida y sacar a la luz una calumnia inaceptable contra su fama y reputación</w:t>
      </w:r>
      <w:r w:rsidR="000407D0" w:rsidRPr="00A2680F">
        <w:rPr>
          <w:rFonts w:ascii="Garamond" w:hAnsi="Garamond" w:cs="Times New Roman"/>
          <w:sz w:val="24"/>
          <w:szCs w:val="24"/>
        </w:rPr>
        <w:t>, demostrando que ni él ni su mujer habían incidido en Juana María para que cometiera tal acción</w:t>
      </w:r>
      <w:r w:rsidR="00E92B54" w:rsidRPr="00A2680F">
        <w:rPr>
          <w:rFonts w:ascii="Garamond" w:hAnsi="Garamond" w:cs="Times New Roman"/>
          <w:sz w:val="24"/>
          <w:szCs w:val="24"/>
        </w:rPr>
        <w:t>.</w:t>
      </w:r>
      <w:r w:rsidR="000C4BDF" w:rsidRPr="00A2680F">
        <w:rPr>
          <w:rFonts w:ascii="Garamond" w:hAnsi="Garamond" w:cs="Times New Roman"/>
          <w:sz w:val="24"/>
          <w:szCs w:val="24"/>
        </w:rPr>
        <w:t xml:space="preserve"> </w:t>
      </w:r>
      <w:r w:rsidR="00E92B54" w:rsidRPr="00A2680F">
        <w:rPr>
          <w:rFonts w:ascii="Garamond" w:hAnsi="Garamond" w:cs="Times New Roman"/>
          <w:sz w:val="24"/>
          <w:szCs w:val="24"/>
        </w:rPr>
        <w:t xml:space="preserve"> </w:t>
      </w:r>
    </w:p>
    <w:p w14:paraId="58633E72" w14:textId="77777777" w:rsidR="00D44F8E" w:rsidRPr="00A2680F" w:rsidRDefault="00D44F8E" w:rsidP="00A2680F">
      <w:pPr>
        <w:jc w:val="both"/>
        <w:rPr>
          <w:rFonts w:ascii="Garamond" w:hAnsi="Garamond" w:cs="Times New Roman"/>
          <w:sz w:val="24"/>
          <w:szCs w:val="24"/>
        </w:rPr>
      </w:pPr>
    </w:p>
    <w:p w14:paraId="725F9026" w14:textId="77777777" w:rsidR="00454BD6" w:rsidRPr="00A2680F" w:rsidRDefault="00454BD6" w:rsidP="00A2680F">
      <w:pPr>
        <w:jc w:val="both"/>
        <w:rPr>
          <w:rFonts w:ascii="Garamond" w:hAnsi="Garamond" w:cs="Times New Roman"/>
          <w:b/>
          <w:sz w:val="24"/>
          <w:szCs w:val="24"/>
        </w:rPr>
      </w:pPr>
      <w:r w:rsidRPr="00A2680F">
        <w:rPr>
          <w:rFonts w:ascii="Garamond" w:hAnsi="Garamond" w:cs="Times New Roman"/>
          <w:b/>
          <w:sz w:val="24"/>
          <w:szCs w:val="24"/>
        </w:rPr>
        <w:t>Consideraciones finales</w:t>
      </w:r>
    </w:p>
    <w:p w14:paraId="39E34DE7" w14:textId="0A1B15C8" w:rsidR="00522367" w:rsidRPr="00A2680F" w:rsidRDefault="00522367" w:rsidP="00A2680F">
      <w:pPr>
        <w:jc w:val="both"/>
        <w:rPr>
          <w:rFonts w:ascii="Garamond" w:hAnsi="Garamond" w:cs="Times New Roman"/>
          <w:sz w:val="24"/>
          <w:szCs w:val="24"/>
        </w:rPr>
      </w:pPr>
      <w:r w:rsidRPr="00A2680F">
        <w:rPr>
          <w:rFonts w:ascii="Garamond" w:hAnsi="Garamond" w:cs="Times New Roman"/>
          <w:sz w:val="24"/>
          <w:szCs w:val="24"/>
        </w:rPr>
        <w:t>El caso aquí analizado, lejos de parecer aislado</w:t>
      </w:r>
      <w:r w:rsidR="00C572A8" w:rsidRPr="00A2680F">
        <w:rPr>
          <w:rFonts w:ascii="Garamond" w:hAnsi="Garamond" w:cs="Times New Roman"/>
          <w:sz w:val="24"/>
          <w:szCs w:val="24"/>
        </w:rPr>
        <w:t xml:space="preserve"> en una villa neogranadina</w:t>
      </w:r>
      <w:r w:rsidRPr="00A2680F">
        <w:rPr>
          <w:rFonts w:ascii="Garamond" w:hAnsi="Garamond" w:cs="Times New Roman"/>
          <w:sz w:val="24"/>
          <w:szCs w:val="24"/>
        </w:rPr>
        <w:t xml:space="preserve"> proporciona indicios de cómo los esclavos en las Américas si bien fueron sometidos de diferentes maneras a la obediencia de sus amos, con todo lograron canalizar mecanismos de resistencia sin atacar directamente las estructuras de la esclavitud. En este orden de ideas, los esclavos se constituyeron en actores activos</w:t>
      </w:r>
      <w:r w:rsidR="003F4754" w:rsidRPr="00A2680F">
        <w:rPr>
          <w:rFonts w:ascii="Garamond" w:hAnsi="Garamond" w:cs="Times New Roman"/>
          <w:sz w:val="24"/>
          <w:szCs w:val="24"/>
        </w:rPr>
        <w:t xml:space="preserve"> en las relaciones con sus amos, y</w:t>
      </w:r>
      <w:r w:rsidR="00B45F57" w:rsidRPr="00A2680F">
        <w:rPr>
          <w:rFonts w:ascii="Garamond" w:hAnsi="Garamond" w:cs="Times New Roman"/>
          <w:sz w:val="24"/>
          <w:szCs w:val="24"/>
        </w:rPr>
        <w:t>a</w:t>
      </w:r>
      <w:r w:rsidR="003F4754" w:rsidRPr="00A2680F">
        <w:rPr>
          <w:rFonts w:ascii="Garamond" w:hAnsi="Garamond" w:cs="Times New Roman"/>
          <w:sz w:val="24"/>
          <w:szCs w:val="24"/>
        </w:rPr>
        <w:t xml:space="preserve"> que cuando empezaban a ser tensas</w:t>
      </w:r>
      <w:r w:rsidRPr="00A2680F">
        <w:rPr>
          <w:rFonts w:ascii="Garamond" w:hAnsi="Garamond" w:cs="Times New Roman"/>
          <w:sz w:val="24"/>
          <w:szCs w:val="24"/>
        </w:rPr>
        <w:t xml:space="preserve"> buscaban oportunidad</w:t>
      </w:r>
      <w:r w:rsidR="003F4754" w:rsidRPr="00A2680F">
        <w:rPr>
          <w:rFonts w:ascii="Garamond" w:hAnsi="Garamond" w:cs="Times New Roman"/>
          <w:sz w:val="24"/>
          <w:szCs w:val="24"/>
        </w:rPr>
        <w:t>es</w:t>
      </w:r>
      <w:r w:rsidRPr="00A2680F">
        <w:rPr>
          <w:rFonts w:ascii="Garamond" w:hAnsi="Garamond" w:cs="Times New Roman"/>
          <w:sz w:val="24"/>
          <w:szCs w:val="24"/>
        </w:rPr>
        <w:t xml:space="preserve"> para resistir</w:t>
      </w:r>
      <w:r w:rsidR="00EB4205" w:rsidRPr="00A2680F">
        <w:rPr>
          <w:rFonts w:ascii="Garamond" w:hAnsi="Garamond" w:cs="Times New Roman"/>
          <w:sz w:val="24"/>
          <w:szCs w:val="24"/>
        </w:rPr>
        <w:t xml:space="preserve"> </w:t>
      </w:r>
      <w:r w:rsidRPr="00A2680F">
        <w:rPr>
          <w:rFonts w:ascii="Garamond" w:hAnsi="Garamond" w:cs="Times New Roman"/>
          <w:sz w:val="24"/>
          <w:szCs w:val="24"/>
        </w:rPr>
        <w:t>sin</w:t>
      </w:r>
      <w:r w:rsidR="00B45F57" w:rsidRPr="00A2680F">
        <w:rPr>
          <w:rFonts w:ascii="Garamond" w:hAnsi="Garamond" w:cs="Times New Roman"/>
          <w:sz w:val="24"/>
          <w:szCs w:val="24"/>
        </w:rPr>
        <w:t xml:space="preserve"> buscar una carta de</w:t>
      </w:r>
      <w:r w:rsidR="00EB4205" w:rsidRPr="00A2680F">
        <w:rPr>
          <w:rFonts w:ascii="Garamond" w:hAnsi="Garamond" w:cs="Times New Roman"/>
          <w:sz w:val="24"/>
          <w:szCs w:val="24"/>
        </w:rPr>
        <w:t xml:space="preserve"> libertad</w:t>
      </w:r>
      <w:r w:rsidR="00F72A2E" w:rsidRPr="00A2680F">
        <w:rPr>
          <w:rFonts w:ascii="Garamond" w:hAnsi="Garamond" w:cs="Times New Roman"/>
          <w:sz w:val="24"/>
          <w:szCs w:val="24"/>
        </w:rPr>
        <w:t xml:space="preserve"> o huir a los montes</w:t>
      </w:r>
      <w:r w:rsidR="003F4754" w:rsidRPr="00A2680F">
        <w:rPr>
          <w:rFonts w:ascii="Garamond" w:hAnsi="Garamond" w:cs="Times New Roman"/>
          <w:sz w:val="24"/>
          <w:szCs w:val="24"/>
        </w:rPr>
        <w:t xml:space="preserve">. </w:t>
      </w:r>
      <w:r w:rsidR="00A66378" w:rsidRPr="00A2680F">
        <w:rPr>
          <w:rFonts w:ascii="Garamond" w:hAnsi="Garamond" w:cs="Times New Roman"/>
          <w:sz w:val="24"/>
          <w:szCs w:val="24"/>
        </w:rPr>
        <w:t>E</w:t>
      </w:r>
      <w:r w:rsidR="00D6775B" w:rsidRPr="00A2680F">
        <w:rPr>
          <w:rFonts w:ascii="Garamond" w:hAnsi="Garamond" w:cs="Times New Roman"/>
          <w:sz w:val="24"/>
          <w:szCs w:val="24"/>
        </w:rPr>
        <w:t xml:space="preserve">n situaciones de malos tratos y abandono, los esclavos </w:t>
      </w:r>
      <w:r w:rsidRPr="00A2680F">
        <w:rPr>
          <w:rFonts w:ascii="Garamond" w:hAnsi="Garamond" w:cs="Times New Roman"/>
          <w:sz w:val="24"/>
          <w:szCs w:val="24"/>
        </w:rPr>
        <w:t>procura</w:t>
      </w:r>
      <w:r w:rsidR="00D6775B" w:rsidRPr="00A2680F">
        <w:rPr>
          <w:rFonts w:ascii="Garamond" w:hAnsi="Garamond" w:cs="Times New Roman"/>
          <w:sz w:val="24"/>
          <w:szCs w:val="24"/>
        </w:rPr>
        <w:t>ban</w:t>
      </w:r>
      <w:r w:rsidRPr="00A2680F">
        <w:rPr>
          <w:rFonts w:ascii="Garamond" w:hAnsi="Garamond" w:cs="Times New Roman"/>
          <w:sz w:val="24"/>
          <w:szCs w:val="24"/>
        </w:rPr>
        <w:t xml:space="preserve"> válvulas de escape</w:t>
      </w:r>
      <w:r w:rsidR="00D6775B" w:rsidRPr="00A2680F">
        <w:rPr>
          <w:rFonts w:ascii="Garamond" w:hAnsi="Garamond" w:cs="Times New Roman"/>
          <w:sz w:val="24"/>
          <w:szCs w:val="24"/>
        </w:rPr>
        <w:t xml:space="preserve"> al mostrar pequeños </w:t>
      </w:r>
      <w:r w:rsidR="00A66378" w:rsidRPr="00A2680F">
        <w:rPr>
          <w:rFonts w:ascii="Garamond" w:hAnsi="Garamond" w:cs="Times New Roman"/>
          <w:sz w:val="24"/>
          <w:szCs w:val="24"/>
        </w:rPr>
        <w:t>act</w:t>
      </w:r>
      <w:r w:rsidR="00D6775B" w:rsidRPr="00A2680F">
        <w:rPr>
          <w:rFonts w:ascii="Garamond" w:hAnsi="Garamond" w:cs="Times New Roman"/>
          <w:sz w:val="24"/>
          <w:szCs w:val="24"/>
        </w:rPr>
        <w:t xml:space="preserve">os de rebeldía, </w:t>
      </w:r>
      <w:r w:rsidR="00C65FD2" w:rsidRPr="00A2680F">
        <w:rPr>
          <w:rFonts w:ascii="Garamond" w:hAnsi="Garamond" w:cs="Times New Roman"/>
          <w:sz w:val="24"/>
          <w:szCs w:val="24"/>
        </w:rPr>
        <w:t>accione</w:t>
      </w:r>
      <w:r w:rsidR="00D6775B" w:rsidRPr="00A2680F">
        <w:rPr>
          <w:rFonts w:ascii="Garamond" w:hAnsi="Garamond" w:cs="Times New Roman"/>
          <w:sz w:val="24"/>
          <w:szCs w:val="24"/>
        </w:rPr>
        <w:t xml:space="preserve">s frontales de resistencia, </w:t>
      </w:r>
      <w:r w:rsidR="00C67632" w:rsidRPr="00A2680F">
        <w:rPr>
          <w:rFonts w:ascii="Garamond" w:hAnsi="Garamond" w:cs="Times New Roman"/>
          <w:sz w:val="24"/>
          <w:szCs w:val="24"/>
        </w:rPr>
        <w:t xml:space="preserve">agresiones, </w:t>
      </w:r>
      <w:r w:rsidR="00D6775B" w:rsidRPr="00A2680F">
        <w:rPr>
          <w:rFonts w:ascii="Garamond" w:hAnsi="Garamond" w:cs="Times New Roman"/>
          <w:sz w:val="24"/>
          <w:szCs w:val="24"/>
        </w:rPr>
        <w:t>denuncias</w:t>
      </w:r>
      <w:r w:rsidR="00C67632" w:rsidRPr="00A2680F">
        <w:rPr>
          <w:rFonts w:ascii="Garamond" w:hAnsi="Garamond" w:cs="Times New Roman"/>
          <w:sz w:val="24"/>
          <w:szCs w:val="24"/>
        </w:rPr>
        <w:t xml:space="preserve"> ante las autoridades y, como con Juana María de la Cruz, </w:t>
      </w:r>
      <w:r w:rsidR="00A66378" w:rsidRPr="00A2680F">
        <w:rPr>
          <w:rFonts w:ascii="Garamond" w:hAnsi="Garamond" w:cs="Times New Roman"/>
          <w:sz w:val="24"/>
          <w:szCs w:val="24"/>
        </w:rPr>
        <w:t>el ataque a los bienes de sus amos así implicara la muerte de sus propias hijas</w:t>
      </w:r>
      <w:r w:rsidRPr="00A2680F">
        <w:rPr>
          <w:rFonts w:ascii="Garamond" w:hAnsi="Garamond" w:cs="Times New Roman"/>
          <w:sz w:val="24"/>
          <w:szCs w:val="24"/>
        </w:rPr>
        <w:t xml:space="preserve">.   </w:t>
      </w:r>
    </w:p>
    <w:p w14:paraId="7D88BBE7" w14:textId="77777777" w:rsidR="00316FFC" w:rsidRPr="00A2680F" w:rsidRDefault="00316FFC" w:rsidP="00A2680F">
      <w:pPr>
        <w:jc w:val="both"/>
        <w:rPr>
          <w:rFonts w:ascii="Garamond" w:hAnsi="Garamond" w:cs="Times New Roman"/>
          <w:sz w:val="24"/>
          <w:szCs w:val="24"/>
        </w:rPr>
      </w:pPr>
    </w:p>
    <w:p w14:paraId="572A01DB" w14:textId="39BC07EC"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t xml:space="preserve">Más allá de lo analizado en este </w:t>
      </w:r>
      <w:r w:rsidR="00920A1E" w:rsidRPr="00A2680F">
        <w:rPr>
          <w:rFonts w:ascii="Garamond" w:hAnsi="Garamond" w:cs="Times New Roman"/>
          <w:sz w:val="24"/>
          <w:szCs w:val="24"/>
        </w:rPr>
        <w:t>escrit</w:t>
      </w:r>
      <w:r w:rsidRPr="00A2680F">
        <w:rPr>
          <w:rFonts w:ascii="Garamond" w:hAnsi="Garamond" w:cs="Times New Roman"/>
          <w:sz w:val="24"/>
          <w:szCs w:val="24"/>
        </w:rPr>
        <w:t xml:space="preserve">o se </w:t>
      </w:r>
      <w:r w:rsidR="006329BC" w:rsidRPr="00A2680F">
        <w:rPr>
          <w:rFonts w:ascii="Garamond" w:hAnsi="Garamond" w:cs="Times New Roman"/>
          <w:sz w:val="24"/>
          <w:szCs w:val="24"/>
        </w:rPr>
        <w:t>pudo</w:t>
      </w:r>
      <w:r w:rsidRPr="00A2680F">
        <w:rPr>
          <w:rFonts w:ascii="Garamond" w:hAnsi="Garamond" w:cs="Times New Roman"/>
          <w:sz w:val="24"/>
          <w:szCs w:val="24"/>
        </w:rPr>
        <w:t xml:space="preserve"> observar la ambivalencia de los jueces que actuaron como tribunal superior</w:t>
      </w:r>
      <w:r w:rsidR="005621B6" w:rsidRPr="00A2680F">
        <w:rPr>
          <w:rFonts w:ascii="Garamond" w:hAnsi="Garamond" w:cs="Times New Roman"/>
          <w:sz w:val="24"/>
          <w:szCs w:val="24"/>
        </w:rPr>
        <w:t>.</w:t>
      </w:r>
      <w:r w:rsidR="002131C6" w:rsidRPr="00A2680F">
        <w:rPr>
          <w:rFonts w:ascii="Garamond" w:hAnsi="Garamond" w:cs="Times New Roman"/>
          <w:sz w:val="24"/>
          <w:szCs w:val="24"/>
        </w:rPr>
        <w:t xml:space="preserve"> Como </w:t>
      </w:r>
      <w:r w:rsidR="00BB0E55" w:rsidRPr="00A2680F">
        <w:rPr>
          <w:rFonts w:ascii="Garamond" w:hAnsi="Garamond" w:cs="Times New Roman"/>
          <w:sz w:val="24"/>
          <w:szCs w:val="24"/>
        </w:rPr>
        <w:t xml:space="preserve">en </w:t>
      </w:r>
      <w:r w:rsidR="002131C6" w:rsidRPr="00A2680F">
        <w:rPr>
          <w:rFonts w:ascii="Garamond" w:hAnsi="Garamond" w:cs="Times New Roman"/>
          <w:sz w:val="24"/>
          <w:szCs w:val="24"/>
        </w:rPr>
        <w:t>algunos</w:t>
      </w:r>
      <w:r w:rsidRPr="00A2680F">
        <w:rPr>
          <w:rFonts w:ascii="Garamond" w:hAnsi="Garamond" w:cs="Times New Roman"/>
          <w:sz w:val="24"/>
          <w:szCs w:val="24"/>
        </w:rPr>
        <w:t xml:space="preserve"> de los procesos judiciales </w:t>
      </w:r>
      <w:r w:rsidR="00C12820" w:rsidRPr="00A2680F">
        <w:rPr>
          <w:rFonts w:ascii="Garamond" w:hAnsi="Garamond" w:cs="Times New Roman"/>
          <w:sz w:val="24"/>
          <w:szCs w:val="24"/>
        </w:rPr>
        <w:t>llevados a cabo durante</w:t>
      </w:r>
      <w:r w:rsidRPr="00A2680F">
        <w:rPr>
          <w:rFonts w:ascii="Garamond" w:hAnsi="Garamond" w:cs="Times New Roman"/>
          <w:sz w:val="24"/>
          <w:szCs w:val="24"/>
        </w:rPr>
        <w:t xml:space="preserve"> la colonia, no es posible saber el final del </w:t>
      </w:r>
      <w:r w:rsidR="000C55C5" w:rsidRPr="00A2680F">
        <w:rPr>
          <w:rFonts w:ascii="Garamond" w:hAnsi="Garamond" w:cs="Times New Roman"/>
          <w:sz w:val="24"/>
          <w:szCs w:val="24"/>
        </w:rPr>
        <w:t>caso porque el expediente no sobrevivió completo al paso del tiempo</w:t>
      </w:r>
      <w:r w:rsidRPr="00A2680F">
        <w:rPr>
          <w:rFonts w:ascii="Garamond" w:hAnsi="Garamond" w:cs="Times New Roman"/>
          <w:sz w:val="24"/>
          <w:szCs w:val="24"/>
        </w:rPr>
        <w:t>, es decir</w:t>
      </w:r>
      <w:r w:rsidR="000C55C5" w:rsidRPr="00A2680F">
        <w:rPr>
          <w:rFonts w:ascii="Garamond" w:hAnsi="Garamond" w:cs="Times New Roman"/>
          <w:sz w:val="24"/>
          <w:szCs w:val="24"/>
        </w:rPr>
        <w:t>, se desconoce</w:t>
      </w:r>
      <w:r w:rsidRPr="00A2680F">
        <w:rPr>
          <w:rFonts w:ascii="Garamond" w:hAnsi="Garamond" w:cs="Times New Roman"/>
          <w:sz w:val="24"/>
          <w:szCs w:val="24"/>
        </w:rPr>
        <w:t xml:space="preserve"> si se reinició teniendo en cuenta las garantías como lo habían ordenado el fiscal y el protector de esclavos. Tenemos la certeza</w:t>
      </w:r>
      <w:r w:rsidR="00031378" w:rsidRPr="00A2680F">
        <w:rPr>
          <w:rFonts w:ascii="Garamond" w:hAnsi="Garamond" w:cs="Times New Roman"/>
          <w:sz w:val="24"/>
          <w:szCs w:val="24"/>
        </w:rPr>
        <w:t xml:space="preserve"> de</w:t>
      </w:r>
      <w:r w:rsidRPr="00A2680F">
        <w:rPr>
          <w:rFonts w:ascii="Garamond" w:hAnsi="Garamond" w:cs="Times New Roman"/>
          <w:sz w:val="24"/>
          <w:szCs w:val="24"/>
        </w:rPr>
        <w:t xml:space="preserve"> que los alcaldes que llevaron el caso pagaron la multa que se les impuso como castigo por dilatar y llevar de manera inadecuada las prescripciones que les ordenaba la ley. Los funcio</w:t>
      </w:r>
      <w:r w:rsidR="00BF60B6" w:rsidRPr="00A2680F">
        <w:rPr>
          <w:rFonts w:ascii="Garamond" w:hAnsi="Garamond" w:cs="Times New Roman"/>
          <w:sz w:val="24"/>
          <w:szCs w:val="24"/>
        </w:rPr>
        <w:t>narios locales</w:t>
      </w:r>
      <w:r w:rsidRPr="00A2680F">
        <w:rPr>
          <w:rFonts w:ascii="Garamond" w:hAnsi="Garamond" w:cs="Times New Roman"/>
          <w:sz w:val="24"/>
          <w:szCs w:val="24"/>
        </w:rPr>
        <w:t xml:space="preserve"> no siempre actuaban pegados a la relación vasallo-señor, sino se daban ci</w:t>
      </w:r>
      <w:r w:rsidR="00BF60B6" w:rsidRPr="00A2680F">
        <w:rPr>
          <w:rFonts w:ascii="Garamond" w:hAnsi="Garamond" w:cs="Times New Roman"/>
          <w:sz w:val="24"/>
          <w:szCs w:val="24"/>
        </w:rPr>
        <w:t>ertas libertades para manejar</w:t>
      </w:r>
      <w:r w:rsidRPr="00A2680F">
        <w:rPr>
          <w:rFonts w:ascii="Garamond" w:hAnsi="Garamond" w:cs="Times New Roman"/>
          <w:sz w:val="24"/>
          <w:szCs w:val="24"/>
        </w:rPr>
        <w:t xml:space="preserve"> las leyes</w:t>
      </w:r>
      <w:r w:rsidR="00BF60B6" w:rsidRPr="00A2680F">
        <w:rPr>
          <w:rFonts w:ascii="Garamond" w:hAnsi="Garamond" w:cs="Times New Roman"/>
          <w:sz w:val="24"/>
          <w:szCs w:val="24"/>
        </w:rPr>
        <w:t xml:space="preserve"> </w:t>
      </w:r>
      <w:r w:rsidR="001664F9" w:rsidRPr="00A2680F">
        <w:rPr>
          <w:rFonts w:ascii="Garamond" w:hAnsi="Garamond" w:cs="Times New Roman"/>
          <w:sz w:val="24"/>
          <w:szCs w:val="24"/>
        </w:rPr>
        <w:t>a</w:t>
      </w:r>
      <w:r w:rsidR="00BF60B6" w:rsidRPr="00A2680F">
        <w:rPr>
          <w:rFonts w:ascii="Garamond" w:hAnsi="Garamond" w:cs="Times New Roman"/>
          <w:sz w:val="24"/>
          <w:szCs w:val="24"/>
        </w:rPr>
        <w:t xml:space="preserve"> su conveniencia</w:t>
      </w:r>
      <w:r w:rsidRPr="00A2680F">
        <w:rPr>
          <w:rFonts w:ascii="Garamond" w:hAnsi="Garamond" w:cs="Times New Roman"/>
          <w:sz w:val="24"/>
          <w:szCs w:val="24"/>
        </w:rPr>
        <w:t xml:space="preserve"> buscando resguarda</w:t>
      </w:r>
      <w:r w:rsidR="00BB0E55" w:rsidRPr="00A2680F">
        <w:rPr>
          <w:rFonts w:ascii="Garamond" w:hAnsi="Garamond" w:cs="Times New Roman"/>
          <w:sz w:val="24"/>
          <w:szCs w:val="24"/>
        </w:rPr>
        <w:t>r</w:t>
      </w:r>
      <w:r w:rsidRPr="00A2680F">
        <w:rPr>
          <w:rFonts w:ascii="Garamond" w:hAnsi="Garamond" w:cs="Times New Roman"/>
          <w:sz w:val="24"/>
          <w:szCs w:val="24"/>
        </w:rPr>
        <w:t xml:space="preserve"> intereses particulares. La</w:t>
      </w:r>
      <w:r w:rsidR="00BF60B6" w:rsidRPr="00A2680F">
        <w:rPr>
          <w:rFonts w:ascii="Garamond" w:hAnsi="Garamond" w:cs="Times New Roman"/>
          <w:sz w:val="24"/>
          <w:szCs w:val="24"/>
        </w:rPr>
        <w:t>s autoridades no se oponían a los mandatos reales</w:t>
      </w:r>
      <w:r w:rsidRPr="00A2680F">
        <w:rPr>
          <w:rFonts w:ascii="Garamond" w:hAnsi="Garamond" w:cs="Times New Roman"/>
          <w:sz w:val="24"/>
          <w:szCs w:val="24"/>
        </w:rPr>
        <w:t xml:space="preserve">, solamente realizaban un conjunto de maniobras en beneficio propio. </w:t>
      </w:r>
      <w:r w:rsidR="00BF60B6" w:rsidRPr="00A2680F">
        <w:rPr>
          <w:rFonts w:ascii="Garamond" w:hAnsi="Garamond" w:cs="Times New Roman"/>
          <w:sz w:val="24"/>
          <w:szCs w:val="24"/>
        </w:rPr>
        <w:t>Por lo tanto, l</w:t>
      </w:r>
      <w:r w:rsidRPr="00A2680F">
        <w:rPr>
          <w:rFonts w:ascii="Garamond" w:hAnsi="Garamond" w:cs="Times New Roman"/>
          <w:sz w:val="24"/>
          <w:szCs w:val="24"/>
        </w:rPr>
        <w:t>a sumisión a la cabeza suprema del reino era flexible.</w:t>
      </w:r>
    </w:p>
    <w:p w14:paraId="120E091A" w14:textId="77777777" w:rsidR="00316FFC" w:rsidRPr="00A2680F" w:rsidRDefault="00316FFC" w:rsidP="00A2680F">
      <w:pPr>
        <w:jc w:val="both"/>
        <w:rPr>
          <w:rFonts w:ascii="Garamond" w:hAnsi="Garamond" w:cs="Times New Roman"/>
          <w:sz w:val="24"/>
          <w:szCs w:val="24"/>
        </w:rPr>
      </w:pPr>
    </w:p>
    <w:p w14:paraId="019618BC" w14:textId="2F8B1B1C" w:rsidR="00454BD6" w:rsidRPr="00A2680F" w:rsidRDefault="00454BD6" w:rsidP="00A2680F">
      <w:pPr>
        <w:jc w:val="both"/>
        <w:rPr>
          <w:rFonts w:ascii="Garamond" w:hAnsi="Garamond" w:cs="Times New Roman"/>
          <w:sz w:val="24"/>
          <w:szCs w:val="24"/>
        </w:rPr>
      </w:pPr>
      <w:r w:rsidRPr="00A2680F">
        <w:rPr>
          <w:rFonts w:ascii="Garamond" w:hAnsi="Garamond" w:cs="Times New Roman"/>
          <w:sz w:val="24"/>
          <w:szCs w:val="24"/>
        </w:rPr>
        <w:lastRenderedPageBreak/>
        <w:t>El análisis de las posiciones de los jueces locales y aquellos de la audiencia muestra dos actitudes contradictorias. En el caso de los primeros está la defensa de los intereses de los vecinos principales, y en el de los segundos una intervención paternal</w:t>
      </w:r>
      <w:r w:rsidR="00BF60B6" w:rsidRPr="00A2680F">
        <w:rPr>
          <w:rFonts w:ascii="Garamond" w:hAnsi="Garamond" w:cs="Times New Roman"/>
          <w:sz w:val="24"/>
          <w:szCs w:val="24"/>
        </w:rPr>
        <w:t>ista en la defensa de los desventur</w:t>
      </w:r>
      <w:r w:rsidRPr="00A2680F">
        <w:rPr>
          <w:rFonts w:ascii="Garamond" w:hAnsi="Garamond" w:cs="Times New Roman"/>
          <w:sz w:val="24"/>
          <w:szCs w:val="24"/>
        </w:rPr>
        <w:t>ados. Es una interacción que revela la fricción entre valores humanitarios de los funcionarios de más alto rango que empezaban a recibir cierta influencia de las ideas del Siglo de las Luces</w:t>
      </w:r>
      <w:r w:rsidR="00015E7E" w:rsidRPr="00A2680F">
        <w:rPr>
          <w:rFonts w:ascii="Garamond" w:hAnsi="Garamond" w:cs="Times New Roman"/>
          <w:sz w:val="24"/>
          <w:szCs w:val="24"/>
        </w:rPr>
        <w:t xml:space="preserve"> -</w:t>
      </w:r>
      <w:r w:rsidR="000877D5" w:rsidRPr="00A2680F">
        <w:rPr>
          <w:rFonts w:ascii="Garamond" w:hAnsi="Garamond" w:cs="Times New Roman"/>
          <w:sz w:val="24"/>
          <w:szCs w:val="24"/>
        </w:rPr>
        <w:t>aceptación de la humanidad de los esclavos y el reconocimiento de algunos derechos respetados por la ley</w:t>
      </w:r>
      <w:r w:rsidR="00C254AB" w:rsidRPr="00A2680F">
        <w:rPr>
          <w:rStyle w:val="Refdenotaalpie"/>
          <w:rFonts w:ascii="Garamond" w:hAnsi="Garamond" w:cs="Times New Roman"/>
          <w:sz w:val="24"/>
          <w:szCs w:val="24"/>
        </w:rPr>
        <w:footnoteReference w:id="79"/>
      </w:r>
      <w:r w:rsidR="000877D5" w:rsidRPr="00A2680F">
        <w:rPr>
          <w:rFonts w:ascii="Garamond" w:hAnsi="Garamond" w:cs="Times New Roman"/>
          <w:sz w:val="24"/>
          <w:szCs w:val="24"/>
        </w:rPr>
        <w:t>-</w:t>
      </w:r>
      <w:r w:rsidRPr="00A2680F">
        <w:rPr>
          <w:rFonts w:ascii="Garamond" w:hAnsi="Garamond" w:cs="Times New Roman"/>
          <w:sz w:val="24"/>
          <w:szCs w:val="24"/>
        </w:rPr>
        <w:t xml:space="preserve"> y los jueces locales que se identificaban y comprometía con los derecho</w:t>
      </w:r>
      <w:r w:rsidR="00BF60B6" w:rsidRPr="00A2680F">
        <w:rPr>
          <w:rFonts w:ascii="Garamond" w:hAnsi="Garamond" w:cs="Times New Roman"/>
          <w:sz w:val="24"/>
          <w:szCs w:val="24"/>
        </w:rPr>
        <w:t>s de propiedad de los amo</w:t>
      </w:r>
      <w:r w:rsidRPr="00A2680F">
        <w:rPr>
          <w:rFonts w:ascii="Garamond" w:hAnsi="Garamond" w:cs="Times New Roman"/>
          <w:sz w:val="24"/>
          <w:szCs w:val="24"/>
        </w:rPr>
        <w:t xml:space="preserve">s.  </w:t>
      </w:r>
    </w:p>
    <w:p w14:paraId="277FE343" w14:textId="77777777" w:rsidR="00316FFC" w:rsidRPr="00A2680F" w:rsidRDefault="00316FFC" w:rsidP="00A2680F">
      <w:pPr>
        <w:jc w:val="both"/>
        <w:rPr>
          <w:rFonts w:ascii="Garamond" w:hAnsi="Garamond" w:cs="Times New Roman"/>
          <w:sz w:val="24"/>
          <w:szCs w:val="24"/>
        </w:rPr>
      </w:pPr>
    </w:p>
    <w:p w14:paraId="763FA688" w14:textId="3F7FDE4C" w:rsidR="00454BD6" w:rsidRPr="00A2680F" w:rsidRDefault="009677A7" w:rsidP="00A2680F">
      <w:pPr>
        <w:jc w:val="both"/>
        <w:rPr>
          <w:rFonts w:ascii="Garamond" w:hAnsi="Garamond" w:cs="Times New Roman"/>
          <w:sz w:val="24"/>
          <w:szCs w:val="24"/>
        </w:rPr>
      </w:pPr>
      <w:r w:rsidRPr="00A2680F">
        <w:rPr>
          <w:rFonts w:ascii="Garamond" w:hAnsi="Garamond" w:cs="Times New Roman"/>
          <w:sz w:val="24"/>
          <w:szCs w:val="24"/>
        </w:rPr>
        <w:t>El expediente</w:t>
      </w:r>
      <w:r w:rsidR="00C867C7" w:rsidRPr="00A2680F">
        <w:rPr>
          <w:rFonts w:ascii="Garamond" w:hAnsi="Garamond" w:cs="Times New Roman"/>
          <w:sz w:val="24"/>
          <w:szCs w:val="24"/>
        </w:rPr>
        <w:t xml:space="preserve"> analizado revela l</w:t>
      </w:r>
      <w:r w:rsidR="00BF60B6" w:rsidRPr="00A2680F">
        <w:rPr>
          <w:rFonts w:ascii="Garamond" w:hAnsi="Garamond" w:cs="Times New Roman"/>
          <w:sz w:val="24"/>
          <w:szCs w:val="24"/>
        </w:rPr>
        <w:t xml:space="preserve">a </w:t>
      </w:r>
      <w:r w:rsidR="00454BD6" w:rsidRPr="00A2680F">
        <w:rPr>
          <w:rFonts w:ascii="Garamond" w:hAnsi="Garamond" w:cs="Times New Roman"/>
          <w:sz w:val="24"/>
          <w:szCs w:val="24"/>
        </w:rPr>
        <w:t>tensión entre amos y</w:t>
      </w:r>
      <w:r w:rsidR="00FC3A70" w:rsidRPr="00A2680F">
        <w:rPr>
          <w:rFonts w:ascii="Garamond" w:hAnsi="Garamond" w:cs="Times New Roman"/>
          <w:sz w:val="24"/>
          <w:szCs w:val="24"/>
        </w:rPr>
        <w:t xml:space="preserve"> esclavos;</w:t>
      </w:r>
      <w:r w:rsidRPr="00A2680F">
        <w:rPr>
          <w:rFonts w:ascii="Garamond" w:hAnsi="Garamond" w:cs="Times New Roman"/>
          <w:sz w:val="24"/>
          <w:szCs w:val="24"/>
        </w:rPr>
        <w:t xml:space="preserve"> este universo</w:t>
      </w:r>
      <w:r w:rsidR="00FC3A70" w:rsidRPr="00A2680F">
        <w:rPr>
          <w:rFonts w:ascii="Garamond" w:hAnsi="Garamond" w:cs="Times New Roman"/>
          <w:sz w:val="24"/>
          <w:szCs w:val="24"/>
        </w:rPr>
        <w:t xml:space="preserve"> social</w:t>
      </w:r>
      <w:r w:rsidRPr="00A2680F">
        <w:rPr>
          <w:rFonts w:ascii="Garamond" w:hAnsi="Garamond" w:cs="Times New Roman"/>
          <w:sz w:val="24"/>
          <w:szCs w:val="24"/>
        </w:rPr>
        <w:t xml:space="preserve"> incluyó</w:t>
      </w:r>
      <w:r w:rsidR="00454BD6" w:rsidRPr="00A2680F">
        <w:rPr>
          <w:rFonts w:ascii="Garamond" w:hAnsi="Garamond" w:cs="Times New Roman"/>
          <w:sz w:val="24"/>
          <w:szCs w:val="24"/>
        </w:rPr>
        <w:t xml:space="preserve"> el conflicto </w:t>
      </w:r>
      <w:r w:rsidR="00BF60B6" w:rsidRPr="00A2680F">
        <w:rPr>
          <w:rFonts w:ascii="Garamond" w:hAnsi="Garamond" w:cs="Times New Roman"/>
          <w:sz w:val="24"/>
          <w:szCs w:val="24"/>
        </w:rPr>
        <w:t xml:space="preserve">de poderes </w:t>
      </w:r>
      <w:r w:rsidR="00454BD6" w:rsidRPr="00A2680F">
        <w:rPr>
          <w:rFonts w:ascii="Garamond" w:hAnsi="Garamond" w:cs="Times New Roman"/>
          <w:sz w:val="24"/>
          <w:szCs w:val="24"/>
        </w:rPr>
        <w:t>en la administración de just</w:t>
      </w:r>
      <w:r w:rsidR="00BF60B6" w:rsidRPr="00A2680F">
        <w:rPr>
          <w:rFonts w:ascii="Garamond" w:hAnsi="Garamond" w:cs="Times New Roman"/>
          <w:sz w:val="24"/>
          <w:szCs w:val="24"/>
        </w:rPr>
        <w:t>icia en la estructura del imperio</w:t>
      </w:r>
      <w:r w:rsidR="00C867C7" w:rsidRPr="00A2680F">
        <w:rPr>
          <w:rFonts w:ascii="Garamond" w:hAnsi="Garamond" w:cs="Times New Roman"/>
          <w:sz w:val="24"/>
          <w:szCs w:val="24"/>
        </w:rPr>
        <w:t xml:space="preserve"> español. Sin embargo</w:t>
      </w:r>
      <w:r w:rsidR="00454BD6" w:rsidRPr="00A2680F">
        <w:rPr>
          <w:rFonts w:ascii="Garamond" w:hAnsi="Garamond" w:cs="Times New Roman"/>
          <w:sz w:val="24"/>
          <w:szCs w:val="24"/>
        </w:rPr>
        <w:t xml:space="preserve">, </w:t>
      </w:r>
      <w:r w:rsidR="00015E7E" w:rsidRPr="00A2680F">
        <w:rPr>
          <w:rFonts w:ascii="Garamond" w:hAnsi="Garamond" w:cs="Times New Roman"/>
          <w:sz w:val="24"/>
          <w:szCs w:val="24"/>
        </w:rPr>
        <w:t xml:space="preserve">no se puede olvidar que </w:t>
      </w:r>
      <w:r w:rsidR="00C867C7" w:rsidRPr="00A2680F">
        <w:rPr>
          <w:rFonts w:ascii="Garamond" w:hAnsi="Garamond" w:cs="Times New Roman"/>
          <w:sz w:val="24"/>
          <w:szCs w:val="24"/>
        </w:rPr>
        <w:t xml:space="preserve">también se presentó </w:t>
      </w:r>
      <w:r w:rsidR="008B6CB7" w:rsidRPr="00A2680F">
        <w:rPr>
          <w:rFonts w:ascii="Garamond" w:hAnsi="Garamond" w:cs="Times New Roman"/>
          <w:sz w:val="24"/>
          <w:szCs w:val="24"/>
        </w:rPr>
        <w:t xml:space="preserve">otra cara de la esclavitud </w:t>
      </w:r>
      <w:r w:rsidR="00454BD6" w:rsidRPr="00A2680F">
        <w:rPr>
          <w:rFonts w:ascii="Garamond" w:hAnsi="Garamond" w:cs="Times New Roman"/>
          <w:sz w:val="24"/>
          <w:szCs w:val="24"/>
        </w:rPr>
        <w:t>que escapaba a los estrados judiciales mientras no se convirtiera en escándalo p</w:t>
      </w:r>
      <w:r w:rsidR="00015E7E" w:rsidRPr="00A2680F">
        <w:rPr>
          <w:rFonts w:ascii="Garamond" w:hAnsi="Garamond" w:cs="Times New Roman"/>
          <w:sz w:val="24"/>
          <w:szCs w:val="24"/>
        </w:rPr>
        <w:t>úblico: la de los amos condescendientes</w:t>
      </w:r>
      <w:r w:rsidR="00C867C7" w:rsidRPr="00A2680F">
        <w:rPr>
          <w:rFonts w:ascii="Garamond" w:hAnsi="Garamond" w:cs="Times New Roman"/>
          <w:sz w:val="24"/>
          <w:szCs w:val="24"/>
        </w:rPr>
        <w:t>, bondadosos y humanitarios,</w:t>
      </w:r>
      <w:r w:rsidR="00454BD6" w:rsidRPr="00A2680F">
        <w:rPr>
          <w:rFonts w:ascii="Garamond" w:hAnsi="Garamond" w:cs="Times New Roman"/>
          <w:sz w:val="24"/>
          <w:szCs w:val="24"/>
        </w:rPr>
        <w:t xml:space="preserve"> y los esclavos </w:t>
      </w:r>
      <w:r w:rsidR="00015E7E" w:rsidRPr="00A2680F">
        <w:rPr>
          <w:rFonts w:ascii="Garamond" w:hAnsi="Garamond" w:cs="Times New Roman"/>
          <w:sz w:val="24"/>
          <w:szCs w:val="24"/>
        </w:rPr>
        <w:t>eficientes</w:t>
      </w:r>
      <w:r w:rsidR="00C867C7" w:rsidRPr="00A2680F">
        <w:rPr>
          <w:rFonts w:ascii="Garamond" w:hAnsi="Garamond" w:cs="Times New Roman"/>
          <w:sz w:val="24"/>
          <w:szCs w:val="24"/>
        </w:rPr>
        <w:t xml:space="preserve"> y obedientes. En este tipo de casos, las</w:t>
      </w:r>
      <w:r w:rsidR="008B6CB7" w:rsidRPr="00A2680F">
        <w:rPr>
          <w:rFonts w:ascii="Garamond" w:hAnsi="Garamond" w:cs="Times New Roman"/>
          <w:sz w:val="24"/>
          <w:szCs w:val="24"/>
        </w:rPr>
        <w:t xml:space="preserve"> confrontaciones</w:t>
      </w:r>
      <w:r w:rsidR="00C867C7" w:rsidRPr="00A2680F">
        <w:rPr>
          <w:rFonts w:ascii="Garamond" w:hAnsi="Garamond" w:cs="Times New Roman"/>
          <w:sz w:val="24"/>
          <w:szCs w:val="24"/>
        </w:rPr>
        <w:t xml:space="preserve"> se reducían</w:t>
      </w:r>
      <w:r w:rsidR="00454BD6" w:rsidRPr="00A2680F">
        <w:rPr>
          <w:rFonts w:ascii="Garamond" w:hAnsi="Garamond" w:cs="Times New Roman"/>
          <w:sz w:val="24"/>
          <w:szCs w:val="24"/>
        </w:rPr>
        <w:t xml:space="preserve"> a su mínima e</w:t>
      </w:r>
      <w:r w:rsidR="00015E7E" w:rsidRPr="00A2680F">
        <w:rPr>
          <w:rFonts w:ascii="Garamond" w:hAnsi="Garamond" w:cs="Times New Roman"/>
          <w:sz w:val="24"/>
          <w:szCs w:val="24"/>
        </w:rPr>
        <w:t>x</w:t>
      </w:r>
      <w:r w:rsidRPr="00A2680F">
        <w:rPr>
          <w:rFonts w:ascii="Garamond" w:hAnsi="Garamond" w:cs="Times New Roman"/>
          <w:sz w:val="24"/>
          <w:szCs w:val="24"/>
        </w:rPr>
        <w:t>presión, surgiendo la armonía</w:t>
      </w:r>
      <w:r w:rsidR="00015E7E" w:rsidRPr="00A2680F">
        <w:rPr>
          <w:rFonts w:ascii="Garamond" w:hAnsi="Garamond" w:cs="Times New Roman"/>
          <w:sz w:val="24"/>
          <w:szCs w:val="24"/>
        </w:rPr>
        <w:t>, el consenso</w:t>
      </w:r>
      <w:r w:rsidR="00454BD6" w:rsidRPr="00A2680F">
        <w:rPr>
          <w:rFonts w:ascii="Garamond" w:hAnsi="Garamond" w:cs="Times New Roman"/>
          <w:sz w:val="24"/>
          <w:szCs w:val="24"/>
        </w:rPr>
        <w:t xml:space="preserve"> y el respeto</w:t>
      </w:r>
      <w:r w:rsidRPr="00A2680F">
        <w:rPr>
          <w:rFonts w:ascii="Garamond" w:hAnsi="Garamond" w:cs="Times New Roman"/>
          <w:sz w:val="24"/>
          <w:szCs w:val="24"/>
        </w:rPr>
        <w:t xml:space="preserve"> en la convivencia</w:t>
      </w:r>
      <w:r w:rsidR="00454BD6" w:rsidRPr="00A2680F">
        <w:rPr>
          <w:rFonts w:ascii="Garamond" w:hAnsi="Garamond" w:cs="Times New Roman"/>
          <w:sz w:val="24"/>
          <w:szCs w:val="24"/>
        </w:rPr>
        <w:t xml:space="preserve">. </w:t>
      </w:r>
      <w:r w:rsidR="008B6CB7" w:rsidRPr="00A2680F">
        <w:rPr>
          <w:rFonts w:ascii="Garamond" w:hAnsi="Garamond" w:cs="Times New Roman"/>
          <w:sz w:val="24"/>
          <w:szCs w:val="24"/>
        </w:rPr>
        <w:t>A su vez, e</w:t>
      </w:r>
      <w:r w:rsidR="00C867C7" w:rsidRPr="00A2680F">
        <w:rPr>
          <w:rFonts w:ascii="Garamond" w:hAnsi="Garamond" w:cs="Times New Roman"/>
          <w:sz w:val="24"/>
          <w:szCs w:val="24"/>
        </w:rPr>
        <w:t xml:space="preserve">s necesario escudriñar </w:t>
      </w:r>
      <w:r w:rsidR="008B6CB7" w:rsidRPr="00A2680F">
        <w:rPr>
          <w:rFonts w:ascii="Garamond" w:hAnsi="Garamond" w:cs="Times New Roman"/>
          <w:sz w:val="24"/>
          <w:szCs w:val="24"/>
        </w:rPr>
        <w:t>en</w:t>
      </w:r>
      <w:r w:rsidR="00C867C7" w:rsidRPr="00A2680F">
        <w:rPr>
          <w:rFonts w:ascii="Garamond" w:hAnsi="Garamond" w:cs="Times New Roman"/>
          <w:sz w:val="24"/>
          <w:szCs w:val="24"/>
        </w:rPr>
        <w:t xml:space="preserve"> los documentos de primera mano</w:t>
      </w:r>
      <w:r w:rsidR="008B6CB7" w:rsidRPr="00A2680F">
        <w:rPr>
          <w:rFonts w:ascii="Garamond" w:hAnsi="Garamond" w:cs="Times New Roman"/>
          <w:sz w:val="24"/>
          <w:szCs w:val="24"/>
        </w:rPr>
        <w:t xml:space="preserve"> las rivalidades y conflictos presentados entre </w:t>
      </w:r>
      <w:r w:rsidR="00666BBB" w:rsidRPr="00A2680F">
        <w:rPr>
          <w:rFonts w:ascii="Garamond" w:hAnsi="Garamond" w:cs="Times New Roman"/>
          <w:sz w:val="24"/>
          <w:szCs w:val="24"/>
        </w:rPr>
        <w:t>los esclavizados</w:t>
      </w:r>
      <w:r w:rsidR="00FC3A70" w:rsidRPr="00A2680F">
        <w:rPr>
          <w:rFonts w:ascii="Garamond" w:hAnsi="Garamond" w:cs="Times New Roman"/>
          <w:sz w:val="24"/>
          <w:szCs w:val="24"/>
        </w:rPr>
        <w:t xml:space="preserve"> que constituían las cuadrillas de plantaciones, haciendas, minas y en las viviendas de sus dueños</w:t>
      </w:r>
      <w:r w:rsidR="00666BBB" w:rsidRPr="00A2680F">
        <w:rPr>
          <w:rFonts w:ascii="Garamond" w:hAnsi="Garamond" w:cs="Times New Roman"/>
          <w:sz w:val="24"/>
          <w:szCs w:val="24"/>
        </w:rPr>
        <w:t>, lo</w:t>
      </w:r>
      <w:r w:rsidR="008B6CB7" w:rsidRPr="00A2680F">
        <w:rPr>
          <w:rFonts w:ascii="Garamond" w:hAnsi="Garamond" w:cs="Times New Roman"/>
          <w:sz w:val="24"/>
          <w:szCs w:val="24"/>
        </w:rPr>
        <w:t xml:space="preserve"> que permite repensar </w:t>
      </w:r>
      <w:r w:rsidR="00C867C7" w:rsidRPr="00A2680F">
        <w:rPr>
          <w:rFonts w:ascii="Garamond" w:hAnsi="Garamond" w:cs="Times New Roman"/>
          <w:sz w:val="24"/>
          <w:szCs w:val="24"/>
        </w:rPr>
        <w:t>las relaciones de la esclavitud, sus distintas variantes y particularidades</w:t>
      </w:r>
      <w:r w:rsidR="00666BBB" w:rsidRPr="00A2680F">
        <w:rPr>
          <w:rFonts w:ascii="Garamond" w:hAnsi="Garamond" w:cs="Times New Roman"/>
          <w:sz w:val="24"/>
          <w:szCs w:val="24"/>
        </w:rPr>
        <w:t xml:space="preserve"> en diversos tiempos y espacios</w:t>
      </w:r>
      <w:r w:rsidR="00C867C7" w:rsidRPr="00A2680F">
        <w:rPr>
          <w:rFonts w:ascii="Garamond" w:hAnsi="Garamond" w:cs="Times New Roman"/>
          <w:sz w:val="24"/>
          <w:szCs w:val="24"/>
        </w:rPr>
        <w:t>.</w:t>
      </w:r>
      <w:r w:rsidR="00666BBB" w:rsidRPr="00A2680F">
        <w:rPr>
          <w:rFonts w:ascii="Garamond" w:hAnsi="Garamond" w:cs="Times New Roman"/>
          <w:sz w:val="24"/>
          <w:szCs w:val="24"/>
        </w:rPr>
        <w:t xml:space="preserve"> </w:t>
      </w:r>
      <w:r w:rsidR="00C867C7" w:rsidRPr="00A2680F">
        <w:rPr>
          <w:rFonts w:ascii="Garamond" w:hAnsi="Garamond" w:cs="Times New Roman"/>
          <w:sz w:val="24"/>
          <w:szCs w:val="24"/>
        </w:rPr>
        <w:t xml:space="preserve"> </w:t>
      </w:r>
      <w:r w:rsidR="00454BD6" w:rsidRPr="00A2680F">
        <w:rPr>
          <w:rFonts w:ascii="Garamond" w:hAnsi="Garamond" w:cs="Times New Roman"/>
          <w:sz w:val="24"/>
          <w:szCs w:val="24"/>
        </w:rPr>
        <w:t xml:space="preserve"> </w:t>
      </w:r>
    </w:p>
    <w:p w14:paraId="22487061" w14:textId="77777777" w:rsidR="00316FFC" w:rsidRPr="00A2680F" w:rsidRDefault="00316FFC" w:rsidP="00A2680F">
      <w:pPr>
        <w:jc w:val="both"/>
        <w:rPr>
          <w:rFonts w:ascii="Garamond" w:hAnsi="Garamond" w:cs="Times New Roman"/>
          <w:sz w:val="24"/>
          <w:szCs w:val="24"/>
        </w:rPr>
      </w:pPr>
    </w:p>
    <w:p w14:paraId="02E49F21" w14:textId="703E54CF" w:rsidR="00E32963" w:rsidRPr="00A2680F" w:rsidRDefault="00E32963" w:rsidP="00A2680F">
      <w:pPr>
        <w:jc w:val="both"/>
        <w:rPr>
          <w:rFonts w:ascii="Garamond" w:hAnsi="Garamond" w:cs="Times New Roman"/>
          <w:sz w:val="24"/>
          <w:szCs w:val="24"/>
        </w:rPr>
      </w:pPr>
      <w:r w:rsidRPr="00A2680F">
        <w:rPr>
          <w:rFonts w:ascii="Garamond" w:hAnsi="Garamond" w:cs="Times New Roman"/>
          <w:sz w:val="24"/>
          <w:szCs w:val="24"/>
        </w:rPr>
        <w:t xml:space="preserve">Finalmente, el expediente muestra </w:t>
      </w:r>
      <w:r w:rsidR="006837FE" w:rsidRPr="00A2680F">
        <w:rPr>
          <w:rFonts w:ascii="Garamond" w:hAnsi="Garamond" w:cs="Times New Roman"/>
          <w:sz w:val="24"/>
          <w:szCs w:val="24"/>
        </w:rPr>
        <w:t>que,</w:t>
      </w:r>
      <w:r w:rsidRPr="00A2680F">
        <w:rPr>
          <w:rFonts w:ascii="Garamond" w:hAnsi="Garamond" w:cs="Times New Roman"/>
          <w:sz w:val="24"/>
          <w:szCs w:val="24"/>
        </w:rPr>
        <w:t xml:space="preserve"> a través de la fuerza de los testigos, Josef Javier Gómez buscó constatar que su honor se fundamentaba en la buena manera como</w:t>
      </w:r>
      <w:r w:rsidR="00215D04" w:rsidRPr="00A2680F">
        <w:rPr>
          <w:rFonts w:ascii="Garamond" w:hAnsi="Garamond" w:cs="Times New Roman"/>
          <w:sz w:val="24"/>
          <w:szCs w:val="24"/>
        </w:rPr>
        <w:t xml:space="preserve"> se</w:t>
      </w:r>
      <w:r w:rsidRPr="00A2680F">
        <w:rPr>
          <w:rFonts w:ascii="Garamond" w:hAnsi="Garamond" w:cs="Times New Roman"/>
          <w:sz w:val="24"/>
          <w:szCs w:val="24"/>
        </w:rPr>
        <w:t xml:space="preserve"> </w:t>
      </w:r>
      <w:r w:rsidR="00215D04" w:rsidRPr="00A2680F">
        <w:rPr>
          <w:rFonts w:ascii="Garamond" w:hAnsi="Garamond" w:cs="Times New Roman"/>
          <w:sz w:val="24"/>
          <w:szCs w:val="24"/>
        </w:rPr>
        <w:t>manejaba</w:t>
      </w:r>
      <w:r w:rsidRPr="00A2680F">
        <w:rPr>
          <w:rFonts w:ascii="Garamond" w:hAnsi="Garamond" w:cs="Times New Roman"/>
          <w:sz w:val="24"/>
          <w:szCs w:val="24"/>
        </w:rPr>
        <w:t xml:space="preserve"> su existencia bajo los preceptos de</w:t>
      </w:r>
      <w:r w:rsidR="00215D04" w:rsidRPr="00A2680F">
        <w:rPr>
          <w:rFonts w:ascii="Garamond" w:hAnsi="Garamond" w:cs="Times New Roman"/>
          <w:sz w:val="24"/>
          <w:szCs w:val="24"/>
        </w:rPr>
        <w:t xml:space="preserve"> </w:t>
      </w:r>
      <w:r w:rsidRPr="00A2680F">
        <w:rPr>
          <w:rFonts w:ascii="Garamond" w:hAnsi="Garamond" w:cs="Times New Roman"/>
          <w:sz w:val="24"/>
          <w:szCs w:val="24"/>
        </w:rPr>
        <w:t>l</w:t>
      </w:r>
      <w:r w:rsidR="00215D04" w:rsidRPr="00A2680F">
        <w:rPr>
          <w:rFonts w:ascii="Garamond" w:hAnsi="Garamond" w:cs="Times New Roman"/>
          <w:sz w:val="24"/>
          <w:szCs w:val="24"/>
        </w:rPr>
        <w:t>os</w:t>
      </w:r>
      <w:r w:rsidRPr="00A2680F">
        <w:rPr>
          <w:rFonts w:ascii="Garamond" w:hAnsi="Garamond" w:cs="Times New Roman"/>
          <w:sz w:val="24"/>
          <w:szCs w:val="24"/>
        </w:rPr>
        <w:t xml:space="preserve"> reino</w:t>
      </w:r>
      <w:r w:rsidR="00215D04" w:rsidRPr="00A2680F">
        <w:rPr>
          <w:rFonts w:ascii="Garamond" w:hAnsi="Garamond" w:cs="Times New Roman"/>
          <w:sz w:val="24"/>
          <w:szCs w:val="24"/>
        </w:rPr>
        <w:t>s</w:t>
      </w:r>
      <w:r w:rsidRPr="00A2680F">
        <w:rPr>
          <w:rFonts w:ascii="Garamond" w:hAnsi="Garamond" w:cs="Times New Roman"/>
          <w:sz w:val="24"/>
          <w:szCs w:val="24"/>
        </w:rPr>
        <w:t xml:space="preserve"> celestial y terrenal, que no dejaban duda alguna que eran personas guiadas por una conducta cristiana. Sus comportamientos contribuían a la tranquilidad, el amor y la bondad con los vecinos y sus esclavas, por ende, debía ser rechazada cualquier implicación de Gómez y su mujer el atroz delito de infanticidio cometido por Juana María de la Cruz en sus dos hijas. El ser involucrados en el doble homicidio, que en principio fue un intento de debilitar el buen nombre público y la conducta de Gómez, le sirvió para reforzar su reputación por medio de la valoración colectiva de sus testigos.   </w:t>
      </w:r>
    </w:p>
    <w:p w14:paraId="17B96D69" w14:textId="77777777" w:rsidR="00E32963" w:rsidRPr="00A2680F" w:rsidRDefault="00E32963" w:rsidP="00A2680F">
      <w:pPr>
        <w:jc w:val="both"/>
        <w:rPr>
          <w:rFonts w:ascii="Garamond" w:hAnsi="Garamond" w:cs="Times New Roman"/>
          <w:sz w:val="24"/>
          <w:szCs w:val="24"/>
        </w:rPr>
      </w:pPr>
    </w:p>
    <w:p w14:paraId="3FA7265F" w14:textId="1F3FD10F" w:rsidR="00454BD6" w:rsidRPr="00A2680F" w:rsidRDefault="00D94514" w:rsidP="00A2680F">
      <w:pPr>
        <w:jc w:val="both"/>
        <w:rPr>
          <w:rFonts w:ascii="Garamond" w:hAnsi="Garamond" w:cs="Times New Roman"/>
          <w:b/>
          <w:sz w:val="24"/>
          <w:szCs w:val="24"/>
        </w:rPr>
      </w:pPr>
      <w:r w:rsidRPr="00A2680F">
        <w:rPr>
          <w:rFonts w:ascii="Garamond" w:hAnsi="Garamond" w:cs="Times New Roman"/>
          <w:b/>
          <w:sz w:val="24"/>
          <w:szCs w:val="24"/>
        </w:rPr>
        <w:t xml:space="preserve">Bibliografía </w:t>
      </w:r>
    </w:p>
    <w:p w14:paraId="0A77D119" w14:textId="36315592" w:rsidR="00454BD6" w:rsidRPr="00A2680F" w:rsidRDefault="00D94514" w:rsidP="00A2680F">
      <w:pPr>
        <w:pStyle w:val="Prrafodelista"/>
        <w:numPr>
          <w:ilvl w:val="0"/>
          <w:numId w:val="5"/>
        </w:numPr>
        <w:ind w:hanging="709"/>
        <w:jc w:val="both"/>
        <w:rPr>
          <w:rFonts w:ascii="Garamond" w:hAnsi="Garamond" w:cs="Times New Roman"/>
          <w:b/>
        </w:rPr>
      </w:pPr>
      <w:r w:rsidRPr="00A2680F">
        <w:rPr>
          <w:rFonts w:ascii="Garamond" w:hAnsi="Garamond" w:cs="Times New Roman"/>
          <w:b/>
        </w:rPr>
        <w:t xml:space="preserve">Fuentes primarias </w:t>
      </w:r>
    </w:p>
    <w:p w14:paraId="366E3E1F" w14:textId="77777777" w:rsidR="005B70DB" w:rsidRPr="00A2680F" w:rsidRDefault="005B70DB" w:rsidP="00A2680F">
      <w:pPr>
        <w:ind w:left="720" w:hanging="709"/>
        <w:jc w:val="both"/>
        <w:rPr>
          <w:rFonts w:ascii="Garamond" w:hAnsi="Garamond" w:cs="Times New Roman"/>
        </w:rPr>
      </w:pPr>
      <w:r w:rsidRPr="00A2680F">
        <w:rPr>
          <w:rFonts w:ascii="Garamond" w:hAnsi="Garamond" w:cs="Times New Roman"/>
        </w:rPr>
        <w:lastRenderedPageBreak/>
        <w:t xml:space="preserve">Archivo General de la Nación (Bogotá), Sección colonia, Fondo negros y esclavos de Santander, t. 4, año </w:t>
      </w:r>
      <w:smartTag w:uri="urn:schemas-microsoft-com:office:smarttags" w:element="metricconverter">
        <w:smartTagPr>
          <w:attr w:name="ProductID" w:val="1805, f"/>
        </w:smartTagPr>
        <w:r w:rsidRPr="00A2680F">
          <w:rPr>
            <w:rFonts w:ascii="Garamond" w:hAnsi="Garamond" w:cs="Times New Roman"/>
          </w:rPr>
          <w:t>1805, f</w:t>
        </w:r>
      </w:smartTag>
      <w:r w:rsidRPr="00A2680F">
        <w:rPr>
          <w:rFonts w:ascii="Garamond" w:hAnsi="Garamond" w:cs="Times New Roman"/>
        </w:rPr>
        <w:t xml:space="preserve">. 313-386.  </w:t>
      </w:r>
    </w:p>
    <w:p w14:paraId="7E02FBA2" w14:textId="77777777" w:rsidR="00454BD6" w:rsidRPr="00A2680F" w:rsidRDefault="00454BD6" w:rsidP="00A2680F">
      <w:pPr>
        <w:ind w:hanging="709"/>
        <w:jc w:val="both"/>
        <w:rPr>
          <w:rFonts w:ascii="Garamond" w:hAnsi="Garamond" w:cs="Times New Roman"/>
        </w:rPr>
      </w:pPr>
    </w:p>
    <w:p w14:paraId="537C7D3F" w14:textId="1FF346FC" w:rsidR="00454BD6" w:rsidRPr="00A2680F" w:rsidRDefault="00D94514" w:rsidP="00A2680F">
      <w:pPr>
        <w:pStyle w:val="Prrafodelista"/>
        <w:numPr>
          <w:ilvl w:val="0"/>
          <w:numId w:val="5"/>
        </w:numPr>
        <w:ind w:hanging="709"/>
        <w:jc w:val="both"/>
        <w:rPr>
          <w:rFonts w:ascii="Garamond" w:hAnsi="Garamond" w:cs="Times New Roman"/>
          <w:b/>
        </w:rPr>
      </w:pPr>
      <w:r w:rsidRPr="00A2680F">
        <w:rPr>
          <w:rFonts w:ascii="Garamond" w:hAnsi="Garamond" w:cs="Times New Roman"/>
          <w:b/>
        </w:rPr>
        <w:t>Fuentes secundarias</w:t>
      </w:r>
    </w:p>
    <w:p w14:paraId="69DDBC6A" w14:textId="2CB69B1F" w:rsidR="00454BD6" w:rsidRPr="00A2680F" w:rsidRDefault="00A17E7F" w:rsidP="00A2680F">
      <w:pPr>
        <w:ind w:left="709" w:hanging="709"/>
        <w:jc w:val="both"/>
        <w:rPr>
          <w:rFonts w:ascii="Garamond" w:hAnsi="Garamond" w:cs="Times New Roman"/>
        </w:rPr>
      </w:pPr>
      <w:r w:rsidRPr="00A2680F">
        <w:rPr>
          <w:rFonts w:ascii="Garamond" w:hAnsi="Garamond" w:cs="Times New Roman"/>
        </w:rPr>
        <w:t>A</w:t>
      </w:r>
      <w:r w:rsidR="00960B87" w:rsidRPr="00A2680F">
        <w:rPr>
          <w:rFonts w:ascii="Garamond" w:hAnsi="Garamond" w:cs="Times New Roman"/>
        </w:rPr>
        <w:t>guilera</w:t>
      </w:r>
      <w:r w:rsidRPr="00A2680F">
        <w:rPr>
          <w:rFonts w:ascii="Garamond" w:hAnsi="Garamond" w:cs="Times New Roman"/>
        </w:rPr>
        <w:t xml:space="preserve"> P</w:t>
      </w:r>
      <w:r w:rsidR="00960B87" w:rsidRPr="00A2680F">
        <w:rPr>
          <w:rFonts w:ascii="Garamond" w:hAnsi="Garamond" w:cs="Times New Roman"/>
        </w:rPr>
        <w:t>eña</w:t>
      </w:r>
      <w:r w:rsidR="00C0762A" w:rsidRPr="00A2680F">
        <w:rPr>
          <w:rFonts w:ascii="Garamond" w:hAnsi="Garamond" w:cs="Times New Roman"/>
        </w:rPr>
        <w:t>, M</w:t>
      </w:r>
      <w:r w:rsidRPr="00A2680F">
        <w:rPr>
          <w:rFonts w:ascii="Garamond" w:hAnsi="Garamond" w:cs="Times New Roman"/>
        </w:rPr>
        <w:t>ario</w:t>
      </w:r>
      <w:r w:rsidR="00C0762A"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Los comuneros: guerra social y lucha anticolonial</w:t>
      </w:r>
      <w:r w:rsidR="00C0762A" w:rsidRPr="00A2680F">
        <w:rPr>
          <w:rFonts w:ascii="Garamond" w:hAnsi="Garamond" w:cs="Times New Roman"/>
        </w:rPr>
        <w:t>. Bogotá</w:t>
      </w:r>
      <w:r w:rsidR="003517B6" w:rsidRPr="00A2680F">
        <w:rPr>
          <w:rFonts w:ascii="Garamond" w:hAnsi="Garamond" w:cs="Times New Roman"/>
        </w:rPr>
        <w:t>:</w:t>
      </w:r>
      <w:r w:rsidR="00454BD6" w:rsidRPr="00A2680F">
        <w:rPr>
          <w:rFonts w:ascii="Garamond" w:hAnsi="Garamond" w:cs="Times New Roman"/>
        </w:rPr>
        <w:t xml:space="preserve"> Universidad Nacional de </w:t>
      </w:r>
      <w:r w:rsidR="00C0762A" w:rsidRPr="00A2680F">
        <w:rPr>
          <w:rFonts w:ascii="Garamond" w:hAnsi="Garamond" w:cs="Times New Roman"/>
        </w:rPr>
        <w:t>Colombia</w:t>
      </w:r>
      <w:r w:rsidR="00960B87" w:rsidRPr="00A2680F">
        <w:rPr>
          <w:rFonts w:ascii="Garamond" w:hAnsi="Garamond" w:cs="Times New Roman"/>
        </w:rPr>
        <w:t>, 1985</w:t>
      </w:r>
      <w:r w:rsidR="00454BD6" w:rsidRPr="00A2680F">
        <w:rPr>
          <w:rFonts w:ascii="Garamond" w:hAnsi="Garamond" w:cs="Times New Roman"/>
        </w:rPr>
        <w:t>.</w:t>
      </w:r>
    </w:p>
    <w:p w14:paraId="7A92293D" w14:textId="179949B3" w:rsidR="00454BD6" w:rsidRPr="00A2680F" w:rsidRDefault="00A17E7F" w:rsidP="00A2680F">
      <w:pPr>
        <w:ind w:left="709" w:hanging="709"/>
        <w:jc w:val="both"/>
        <w:rPr>
          <w:rFonts w:ascii="Garamond" w:hAnsi="Garamond" w:cs="Times New Roman"/>
        </w:rPr>
      </w:pPr>
      <w:r w:rsidRPr="00A2680F">
        <w:rPr>
          <w:rFonts w:ascii="Garamond" w:hAnsi="Garamond" w:cs="Times New Roman"/>
        </w:rPr>
        <w:t>A</w:t>
      </w:r>
      <w:r w:rsidR="00960B87" w:rsidRPr="00A2680F">
        <w:rPr>
          <w:rFonts w:ascii="Garamond" w:hAnsi="Garamond" w:cs="Times New Roman"/>
        </w:rPr>
        <w:t>guirre Beltrán</w:t>
      </w:r>
      <w:r w:rsidR="00C0762A" w:rsidRPr="00A2680F">
        <w:rPr>
          <w:rFonts w:ascii="Garamond" w:hAnsi="Garamond" w:cs="Times New Roman"/>
        </w:rPr>
        <w:t>, G</w:t>
      </w:r>
      <w:r w:rsidRPr="00A2680F">
        <w:rPr>
          <w:rFonts w:ascii="Garamond" w:hAnsi="Garamond" w:cs="Times New Roman"/>
        </w:rPr>
        <w:t>onzalo</w:t>
      </w:r>
      <w:r w:rsidR="00C0762A"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La población negra de México. Estudio Etnohistórico</w:t>
      </w:r>
      <w:r w:rsidR="00C0762A" w:rsidRPr="00A2680F">
        <w:rPr>
          <w:rFonts w:ascii="Garamond" w:hAnsi="Garamond" w:cs="Times New Roman"/>
        </w:rPr>
        <w:t>. México</w:t>
      </w:r>
      <w:r w:rsidR="003517B6" w:rsidRPr="00A2680F">
        <w:rPr>
          <w:rFonts w:ascii="Garamond" w:hAnsi="Garamond" w:cs="Times New Roman"/>
        </w:rPr>
        <w:t>:</w:t>
      </w:r>
      <w:r w:rsidR="00454BD6" w:rsidRPr="00A2680F">
        <w:rPr>
          <w:rFonts w:ascii="Garamond" w:hAnsi="Garamond" w:cs="Times New Roman"/>
        </w:rPr>
        <w:t xml:space="preserve"> </w:t>
      </w:r>
      <w:r w:rsidR="00C0762A" w:rsidRPr="00A2680F">
        <w:rPr>
          <w:rFonts w:ascii="Garamond" w:hAnsi="Garamond" w:cs="Times New Roman"/>
        </w:rPr>
        <w:t>Fondo de Cultura Económica</w:t>
      </w:r>
      <w:r w:rsidR="00960B87" w:rsidRPr="00A2680F">
        <w:rPr>
          <w:rFonts w:ascii="Garamond" w:hAnsi="Garamond" w:cs="Times New Roman"/>
        </w:rPr>
        <w:t>, 1972</w:t>
      </w:r>
      <w:r w:rsidR="00454BD6" w:rsidRPr="00A2680F">
        <w:rPr>
          <w:rFonts w:ascii="Garamond" w:hAnsi="Garamond" w:cs="Times New Roman"/>
        </w:rPr>
        <w:t>.</w:t>
      </w:r>
    </w:p>
    <w:p w14:paraId="5444F73B" w14:textId="037CBDD4" w:rsidR="00454BD6" w:rsidRPr="00A2680F" w:rsidRDefault="00A17E7F" w:rsidP="00A2680F">
      <w:pPr>
        <w:ind w:left="709" w:hanging="709"/>
        <w:jc w:val="both"/>
        <w:rPr>
          <w:rFonts w:ascii="Garamond" w:hAnsi="Garamond" w:cs="Times New Roman"/>
          <w:lang w:val="es-ES"/>
        </w:rPr>
      </w:pPr>
      <w:r w:rsidRPr="00A2680F">
        <w:rPr>
          <w:rFonts w:ascii="Garamond" w:hAnsi="Garamond" w:cs="Times New Roman"/>
          <w:lang w:val="en-US"/>
        </w:rPr>
        <w:t>B</w:t>
      </w:r>
      <w:r w:rsidR="00F2193E" w:rsidRPr="00A2680F">
        <w:rPr>
          <w:rFonts w:ascii="Garamond" w:hAnsi="Garamond" w:cs="Times New Roman"/>
          <w:lang w:val="en-US"/>
        </w:rPr>
        <w:t>rungardt</w:t>
      </w:r>
      <w:r w:rsidR="00C0762A" w:rsidRPr="00A2680F">
        <w:rPr>
          <w:rFonts w:ascii="Garamond" w:hAnsi="Garamond" w:cs="Times New Roman"/>
          <w:lang w:val="en-US"/>
        </w:rPr>
        <w:t>, M</w:t>
      </w:r>
      <w:r w:rsidRPr="00A2680F">
        <w:rPr>
          <w:rFonts w:ascii="Garamond" w:hAnsi="Garamond" w:cs="Times New Roman"/>
          <w:lang w:val="en-US"/>
        </w:rPr>
        <w:t>aurice</w:t>
      </w:r>
      <w:r w:rsidR="00C0762A" w:rsidRPr="00A2680F">
        <w:rPr>
          <w:rFonts w:ascii="Garamond" w:hAnsi="Garamond" w:cs="Times New Roman"/>
          <w:lang w:val="en-US"/>
        </w:rPr>
        <w:t xml:space="preserve"> P</w:t>
      </w:r>
      <w:r w:rsidRPr="00A2680F">
        <w:rPr>
          <w:rFonts w:ascii="Garamond" w:hAnsi="Garamond" w:cs="Times New Roman"/>
          <w:lang w:val="en-US"/>
        </w:rPr>
        <w:t>hilip</w:t>
      </w:r>
      <w:r w:rsidR="00C0762A" w:rsidRPr="00A2680F">
        <w:rPr>
          <w:rFonts w:ascii="Garamond" w:hAnsi="Garamond" w:cs="Times New Roman"/>
          <w:lang w:val="en-US"/>
        </w:rPr>
        <w:t>.</w:t>
      </w:r>
      <w:r w:rsidR="00454BD6" w:rsidRPr="00A2680F">
        <w:rPr>
          <w:rFonts w:ascii="Garamond" w:hAnsi="Garamond" w:cs="Times New Roman"/>
          <w:lang w:val="en-US"/>
        </w:rPr>
        <w:t xml:space="preserve"> </w:t>
      </w:r>
      <w:r w:rsidR="00454BD6" w:rsidRPr="00A2680F">
        <w:rPr>
          <w:rFonts w:ascii="Garamond" w:hAnsi="Garamond" w:cs="Times New Roman"/>
          <w:iCs/>
          <w:lang w:val="en-US"/>
        </w:rPr>
        <w:t>Thithe production and patterns of economic change in Central Colombia, 1764-1833</w:t>
      </w:r>
      <w:r w:rsidR="00F2193E" w:rsidRPr="00A2680F">
        <w:rPr>
          <w:rFonts w:ascii="Garamond" w:hAnsi="Garamond" w:cs="Times New Roman"/>
          <w:iCs/>
          <w:lang w:val="en-US"/>
        </w:rPr>
        <w:t>.</w:t>
      </w:r>
      <w:r w:rsidR="00454BD6" w:rsidRPr="00A2680F">
        <w:rPr>
          <w:rFonts w:ascii="Garamond" w:hAnsi="Garamond" w:cs="Times New Roman"/>
          <w:lang w:val="en-US"/>
        </w:rPr>
        <w:t xml:space="preserve"> </w:t>
      </w:r>
      <w:r w:rsidR="00E20D2A" w:rsidRPr="00A2680F">
        <w:rPr>
          <w:rFonts w:ascii="Garamond" w:hAnsi="Garamond" w:cs="Times New Roman"/>
          <w:lang w:val="es-ES"/>
        </w:rPr>
        <w:t>(</w:t>
      </w:r>
      <w:r w:rsidR="00561684" w:rsidRPr="00A2680F">
        <w:rPr>
          <w:rFonts w:ascii="Garamond" w:hAnsi="Garamond" w:cs="Times New Roman"/>
          <w:lang w:val="es-ES"/>
        </w:rPr>
        <w:t xml:space="preserve">Tesis </w:t>
      </w:r>
      <w:r w:rsidR="00F2193E" w:rsidRPr="00A2680F">
        <w:rPr>
          <w:rFonts w:ascii="Garamond" w:hAnsi="Garamond" w:cs="Times New Roman"/>
          <w:lang w:val="es-ES"/>
        </w:rPr>
        <w:t xml:space="preserve">de </w:t>
      </w:r>
      <w:r w:rsidR="00561684" w:rsidRPr="00A2680F">
        <w:rPr>
          <w:rFonts w:ascii="Garamond" w:hAnsi="Garamond" w:cs="Times New Roman"/>
          <w:lang w:val="es-ES"/>
        </w:rPr>
        <w:t>doctora</w:t>
      </w:r>
      <w:r w:rsidR="00F2193E" w:rsidRPr="00A2680F">
        <w:rPr>
          <w:rFonts w:ascii="Garamond" w:hAnsi="Garamond" w:cs="Times New Roman"/>
          <w:lang w:val="es-ES"/>
        </w:rPr>
        <w:t>do, Universidad de Texas, 1974</w:t>
      </w:r>
      <w:r w:rsidR="00E20D2A" w:rsidRPr="00A2680F">
        <w:rPr>
          <w:rFonts w:ascii="Garamond" w:hAnsi="Garamond" w:cs="Times New Roman"/>
          <w:lang w:val="es-ES"/>
        </w:rPr>
        <w:t>)</w:t>
      </w:r>
      <w:r w:rsidR="00454BD6" w:rsidRPr="00A2680F">
        <w:rPr>
          <w:rFonts w:ascii="Garamond" w:hAnsi="Garamond" w:cs="Times New Roman"/>
          <w:lang w:val="es-ES"/>
        </w:rPr>
        <w:t>.</w:t>
      </w:r>
    </w:p>
    <w:p w14:paraId="74CD65D3" w14:textId="6377F6C7" w:rsidR="00B020DB" w:rsidRPr="00A2680F" w:rsidRDefault="00A17E7F" w:rsidP="00A2680F">
      <w:pPr>
        <w:ind w:left="709" w:hanging="709"/>
        <w:jc w:val="both"/>
        <w:rPr>
          <w:rFonts w:ascii="Garamond" w:hAnsi="Garamond" w:cs="Times New Roman"/>
          <w:lang w:val="es-ES"/>
        </w:rPr>
      </w:pPr>
      <w:r w:rsidRPr="00A2680F">
        <w:rPr>
          <w:rFonts w:ascii="Garamond" w:hAnsi="Garamond" w:cs="Times New Roman"/>
          <w:lang w:val="es-ES"/>
        </w:rPr>
        <w:t>B</w:t>
      </w:r>
      <w:r w:rsidR="00C34300" w:rsidRPr="00A2680F">
        <w:rPr>
          <w:rFonts w:ascii="Garamond" w:hAnsi="Garamond" w:cs="Times New Roman"/>
          <w:lang w:val="es-ES"/>
        </w:rPr>
        <w:t>uenaventura</w:t>
      </w:r>
      <w:r w:rsidRPr="00A2680F">
        <w:rPr>
          <w:rFonts w:ascii="Garamond" w:hAnsi="Garamond" w:cs="Times New Roman"/>
          <w:lang w:val="es-ES"/>
        </w:rPr>
        <w:t xml:space="preserve"> G</w:t>
      </w:r>
      <w:r w:rsidR="00C34300" w:rsidRPr="00A2680F">
        <w:rPr>
          <w:rFonts w:ascii="Garamond" w:hAnsi="Garamond" w:cs="Times New Roman"/>
          <w:lang w:val="es-ES"/>
        </w:rPr>
        <w:t>ómez</w:t>
      </w:r>
      <w:r w:rsidR="00B020DB" w:rsidRPr="00A2680F">
        <w:rPr>
          <w:rFonts w:ascii="Garamond" w:hAnsi="Garamond" w:cs="Times New Roman"/>
          <w:lang w:val="es-ES"/>
        </w:rPr>
        <w:t>, L</w:t>
      </w:r>
      <w:r w:rsidRPr="00A2680F">
        <w:rPr>
          <w:rFonts w:ascii="Garamond" w:hAnsi="Garamond" w:cs="Times New Roman"/>
          <w:lang w:val="es-ES"/>
        </w:rPr>
        <w:t>aura</w:t>
      </w:r>
      <w:r w:rsidR="004276EC" w:rsidRPr="00A2680F">
        <w:rPr>
          <w:rFonts w:ascii="Garamond" w:hAnsi="Garamond" w:cs="Times New Roman"/>
          <w:lang w:val="es-ES"/>
        </w:rPr>
        <w:t xml:space="preserve"> A</w:t>
      </w:r>
      <w:r w:rsidR="00501515" w:rsidRPr="00A2680F">
        <w:rPr>
          <w:rFonts w:ascii="Garamond" w:hAnsi="Garamond" w:cs="Times New Roman"/>
          <w:lang w:val="es-ES"/>
        </w:rPr>
        <w:t>lejandra</w:t>
      </w:r>
      <w:r w:rsidR="00B020DB" w:rsidRPr="00A2680F">
        <w:rPr>
          <w:rFonts w:ascii="Garamond" w:hAnsi="Garamond" w:cs="Times New Roman"/>
          <w:lang w:val="es-ES"/>
        </w:rPr>
        <w:t xml:space="preserve">. </w:t>
      </w:r>
      <w:r w:rsidR="004276EC" w:rsidRPr="00A2680F">
        <w:rPr>
          <w:rFonts w:ascii="Garamond" w:hAnsi="Garamond" w:cs="Times New Roman"/>
          <w:lang w:val="es-ES"/>
        </w:rPr>
        <w:t xml:space="preserve">Tentativas del “enemigo malo”. Relaciones ilícitas e infanticidios en la Provincia de Antioquia (Nueva Granada) 1765-1803. </w:t>
      </w:r>
      <w:r w:rsidR="00E20D2A" w:rsidRPr="00A2680F">
        <w:rPr>
          <w:rFonts w:ascii="Garamond" w:hAnsi="Garamond" w:cs="Times New Roman"/>
          <w:lang w:val="es-ES"/>
        </w:rPr>
        <w:t>(</w:t>
      </w:r>
      <w:r w:rsidR="00561684" w:rsidRPr="00A2680F">
        <w:rPr>
          <w:rFonts w:ascii="Garamond" w:hAnsi="Garamond" w:cs="Times New Roman"/>
          <w:lang w:val="es-ES"/>
        </w:rPr>
        <w:t>Tesis de grado</w:t>
      </w:r>
      <w:r w:rsidR="00C34300" w:rsidRPr="00A2680F">
        <w:rPr>
          <w:rFonts w:ascii="Garamond" w:hAnsi="Garamond" w:cs="Times New Roman"/>
          <w:lang w:val="es-ES"/>
        </w:rPr>
        <w:t>, Universidad Colegio Mayor de Nuestra Señora del Rosario, 2015</w:t>
      </w:r>
      <w:r w:rsidR="00E20D2A" w:rsidRPr="00A2680F">
        <w:rPr>
          <w:rFonts w:ascii="Garamond" w:hAnsi="Garamond" w:cs="Times New Roman"/>
          <w:lang w:val="es-ES"/>
        </w:rPr>
        <w:t>)</w:t>
      </w:r>
      <w:r w:rsidR="004276EC" w:rsidRPr="00A2680F">
        <w:rPr>
          <w:rFonts w:ascii="Garamond" w:hAnsi="Garamond" w:cs="Times New Roman"/>
          <w:lang w:val="es-ES"/>
        </w:rPr>
        <w:t xml:space="preserve">. </w:t>
      </w:r>
    </w:p>
    <w:p w14:paraId="06C8563A" w14:textId="59678C9B" w:rsidR="00A05C9A" w:rsidRPr="00A2680F" w:rsidRDefault="00A17E7F" w:rsidP="00A2680F">
      <w:pPr>
        <w:ind w:left="709" w:hanging="709"/>
        <w:jc w:val="both"/>
        <w:rPr>
          <w:rFonts w:ascii="Garamond" w:hAnsi="Garamond" w:cs="Times New Roman"/>
        </w:rPr>
      </w:pPr>
      <w:r w:rsidRPr="00A2680F">
        <w:rPr>
          <w:rFonts w:ascii="Garamond" w:hAnsi="Garamond" w:cs="Times New Roman"/>
        </w:rPr>
        <w:t>C</w:t>
      </w:r>
      <w:r w:rsidR="003517B6" w:rsidRPr="00A2680F">
        <w:rPr>
          <w:rFonts w:ascii="Garamond" w:hAnsi="Garamond" w:cs="Times New Roman"/>
        </w:rPr>
        <w:t>amba Ludlow</w:t>
      </w:r>
      <w:r w:rsidR="00A05C9A" w:rsidRPr="00A2680F">
        <w:rPr>
          <w:rFonts w:ascii="Garamond" w:hAnsi="Garamond" w:cs="Times New Roman"/>
        </w:rPr>
        <w:t>, Ú</w:t>
      </w:r>
      <w:r w:rsidRPr="00A2680F">
        <w:rPr>
          <w:rFonts w:ascii="Garamond" w:hAnsi="Garamond" w:cs="Times New Roman"/>
        </w:rPr>
        <w:t>rsula</w:t>
      </w:r>
      <w:r w:rsidR="005B4B1B" w:rsidRPr="00A2680F">
        <w:rPr>
          <w:rFonts w:ascii="Garamond" w:hAnsi="Garamond" w:cs="Times New Roman"/>
        </w:rPr>
        <w:t>.</w:t>
      </w:r>
      <w:r w:rsidR="00A05C9A" w:rsidRPr="00A2680F">
        <w:rPr>
          <w:rFonts w:ascii="Garamond" w:hAnsi="Garamond" w:cs="Times New Roman"/>
        </w:rPr>
        <w:t xml:space="preserve"> </w:t>
      </w:r>
      <w:r w:rsidR="00A05C9A" w:rsidRPr="00A2680F">
        <w:rPr>
          <w:rFonts w:ascii="Garamond" w:hAnsi="Garamond" w:cs="Times New Roman"/>
          <w:iCs/>
        </w:rPr>
        <w:t>Imaginarios ambiguos, realidades contradictorias: conductas y representaciones de los negros y mulatos novohispanos. Siglos XVI y XVII</w:t>
      </w:r>
      <w:r w:rsidR="005B4B1B" w:rsidRPr="00A2680F">
        <w:rPr>
          <w:rFonts w:ascii="Garamond" w:hAnsi="Garamond" w:cs="Times New Roman"/>
        </w:rPr>
        <w:t>.</w:t>
      </w:r>
      <w:r w:rsidR="00A05C9A" w:rsidRPr="00A2680F">
        <w:rPr>
          <w:rFonts w:ascii="Garamond" w:hAnsi="Garamond" w:cs="Times New Roman"/>
        </w:rPr>
        <w:t xml:space="preserve"> Méxi</w:t>
      </w:r>
      <w:r w:rsidR="005B4B1B" w:rsidRPr="00A2680F">
        <w:rPr>
          <w:rFonts w:ascii="Garamond" w:hAnsi="Garamond" w:cs="Times New Roman"/>
        </w:rPr>
        <w:t>co: El Colegio de México</w:t>
      </w:r>
      <w:r w:rsidR="003517B6" w:rsidRPr="00A2680F">
        <w:rPr>
          <w:rFonts w:ascii="Garamond" w:hAnsi="Garamond" w:cs="Times New Roman"/>
        </w:rPr>
        <w:t>, 2008</w:t>
      </w:r>
      <w:r w:rsidR="006A37EF" w:rsidRPr="00A2680F">
        <w:rPr>
          <w:rFonts w:ascii="Garamond" w:hAnsi="Garamond" w:cs="Times New Roman"/>
        </w:rPr>
        <w:t>.</w:t>
      </w:r>
    </w:p>
    <w:p w14:paraId="4EA0AB3D" w14:textId="72D6422B" w:rsidR="00454BD6" w:rsidRPr="00A2680F" w:rsidRDefault="00A17E7F" w:rsidP="00A2680F">
      <w:pPr>
        <w:ind w:left="709" w:hanging="709"/>
        <w:jc w:val="both"/>
        <w:rPr>
          <w:rFonts w:ascii="Garamond" w:hAnsi="Garamond" w:cs="Times New Roman"/>
          <w:lang w:val="es-ES"/>
        </w:rPr>
      </w:pPr>
      <w:r w:rsidRPr="00A2680F">
        <w:rPr>
          <w:rFonts w:ascii="Garamond" w:hAnsi="Garamond" w:cs="Times New Roman"/>
        </w:rPr>
        <w:t>C</w:t>
      </w:r>
      <w:r w:rsidR="0071247B" w:rsidRPr="00A2680F">
        <w:rPr>
          <w:rFonts w:ascii="Garamond" w:hAnsi="Garamond" w:cs="Times New Roman"/>
        </w:rPr>
        <w:t>handler</w:t>
      </w:r>
      <w:r w:rsidR="005B4B1B" w:rsidRPr="00A2680F">
        <w:rPr>
          <w:rFonts w:ascii="Garamond" w:hAnsi="Garamond" w:cs="Times New Roman"/>
        </w:rPr>
        <w:t>, D</w:t>
      </w:r>
      <w:r w:rsidRPr="00A2680F">
        <w:rPr>
          <w:rFonts w:ascii="Garamond" w:hAnsi="Garamond" w:cs="Times New Roman"/>
        </w:rPr>
        <w:t>avid</w:t>
      </w:r>
      <w:r w:rsidR="005B4B1B" w:rsidRPr="00A2680F">
        <w:rPr>
          <w:rFonts w:ascii="Garamond" w:hAnsi="Garamond" w:cs="Times New Roman"/>
        </w:rPr>
        <w:t xml:space="preserve"> L.</w:t>
      </w:r>
      <w:r w:rsidR="00454BD6" w:rsidRPr="00A2680F">
        <w:rPr>
          <w:rFonts w:ascii="Garamond" w:hAnsi="Garamond" w:cs="Times New Roman"/>
        </w:rPr>
        <w:t xml:space="preserve"> “Family bonds and the bondsman: The Slave </w:t>
      </w:r>
      <w:r w:rsidR="005B4B1B" w:rsidRPr="00A2680F">
        <w:rPr>
          <w:rFonts w:ascii="Garamond" w:hAnsi="Garamond" w:cs="Times New Roman"/>
        </w:rPr>
        <w:t>Family in Colonial Colombia”.</w:t>
      </w:r>
      <w:r w:rsidR="00454BD6" w:rsidRPr="00A2680F">
        <w:rPr>
          <w:rFonts w:ascii="Garamond" w:hAnsi="Garamond" w:cs="Times New Roman"/>
        </w:rPr>
        <w:t xml:space="preserve"> </w:t>
      </w:r>
      <w:r w:rsidR="00454BD6" w:rsidRPr="00A2680F">
        <w:rPr>
          <w:rFonts w:ascii="Garamond" w:hAnsi="Garamond" w:cs="Times New Roman"/>
          <w:iCs/>
          <w:lang w:val="es-ES"/>
        </w:rPr>
        <w:t>Latin American Research Review</w:t>
      </w:r>
      <w:r w:rsidR="005B4B1B" w:rsidRPr="00A2680F">
        <w:rPr>
          <w:rFonts w:ascii="Garamond" w:hAnsi="Garamond" w:cs="Times New Roman"/>
          <w:lang w:val="es-ES"/>
        </w:rPr>
        <w:t>, XVI</w:t>
      </w:r>
      <w:r w:rsidR="00454BD6" w:rsidRPr="00A2680F">
        <w:rPr>
          <w:rFonts w:ascii="Garamond" w:hAnsi="Garamond" w:cs="Times New Roman"/>
          <w:lang w:val="es-ES"/>
        </w:rPr>
        <w:t xml:space="preserve"> 2</w:t>
      </w:r>
      <w:r w:rsidR="0071247B" w:rsidRPr="00A2680F">
        <w:rPr>
          <w:rFonts w:ascii="Garamond" w:hAnsi="Garamond" w:cs="Times New Roman"/>
          <w:lang w:val="es-ES"/>
        </w:rPr>
        <w:t xml:space="preserve"> (1981):</w:t>
      </w:r>
      <w:r w:rsidR="00454BD6" w:rsidRPr="00A2680F">
        <w:rPr>
          <w:rFonts w:ascii="Garamond" w:hAnsi="Garamond" w:cs="Times New Roman"/>
          <w:lang w:val="es-ES"/>
        </w:rPr>
        <w:t xml:space="preserve"> 107-131.</w:t>
      </w:r>
    </w:p>
    <w:p w14:paraId="278DC07F" w14:textId="3F77D294" w:rsidR="003259BA" w:rsidRPr="00A2680F" w:rsidRDefault="003259BA" w:rsidP="00A2680F">
      <w:pPr>
        <w:ind w:left="709" w:hanging="709"/>
        <w:jc w:val="both"/>
        <w:rPr>
          <w:rFonts w:ascii="Garamond" w:hAnsi="Garamond" w:cs="Times New Roman"/>
          <w:lang w:val="es-ES"/>
        </w:rPr>
      </w:pPr>
      <w:r w:rsidRPr="00A2680F">
        <w:rPr>
          <w:rFonts w:ascii="Garamond" w:hAnsi="Garamond" w:cs="Times New Roman"/>
          <w:lang w:val="es-ES"/>
        </w:rPr>
        <w:t>C</w:t>
      </w:r>
      <w:r w:rsidR="0071247B" w:rsidRPr="00A2680F">
        <w:rPr>
          <w:rFonts w:ascii="Garamond" w:hAnsi="Garamond" w:cs="Times New Roman"/>
          <w:lang w:val="es-ES"/>
        </w:rPr>
        <w:t>haves</w:t>
      </w:r>
      <w:r w:rsidRPr="00A2680F">
        <w:rPr>
          <w:rFonts w:ascii="Garamond" w:hAnsi="Garamond" w:cs="Times New Roman"/>
          <w:lang w:val="es-ES"/>
        </w:rPr>
        <w:t>, María Eugenia.</w:t>
      </w:r>
      <w:r w:rsidR="006C6A7A" w:rsidRPr="00A2680F">
        <w:rPr>
          <w:rFonts w:ascii="Garamond" w:hAnsi="Garamond" w:cs="Times New Roman"/>
          <w:lang w:val="es-ES"/>
        </w:rPr>
        <w:t xml:space="preserve"> </w:t>
      </w:r>
      <w:r w:rsidR="00561064" w:rsidRPr="00A2680F">
        <w:rPr>
          <w:rFonts w:ascii="Garamond" w:hAnsi="Garamond" w:cs="Times New Roman"/>
          <w:lang w:val="es-ES"/>
        </w:rPr>
        <w:t>María Chiquinquirá Díaz: una esclava del siglo XVIII. Acerca de las identidades de amo y esclavo en el puerto colonial de Guayaquil.  Guayaquil: Archivo Histórico del Guayas</w:t>
      </w:r>
      <w:r w:rsidR="0071247B" w:rsidRPr="00A2680F">
        <w:rPr>
          <w:rFonts w:ascii="Garamond" w:hAnsi="Garamond" w:cs="Times New Roman"/>
          <w:lang w:val="es-ES"/>
        </w:rPr>
        <w:t>, 1998</w:t>
      </w:r>
      <w:r w:rsidR="00561064" w:rsidRPr="00A2680F">
        <w:rPr>
          <w:rFonts w:ascii="Garamond" w:hAnsi="Garamond" w:cs="Times New Roman"/>
          <w:lang w:val="es-ES"/>
        </w:rPr>
        <w:t xml:space="preserve">. </w:t>
      </w:r>
      <w:r w:rsidRPr="00A2680F">
        <w:rPr>
          <w:rFonts w:ascii="Garamond" w:hAnsi="Garamond" w:cs="Times New Roman"/>
          <w:lang w:val="es-ES"/>
        </w:rPr>
        <w:t xml:space="preserve"> </w:t>
      </w:r>
    </w:p>
    <w:p w14:paraId="1DAC01E2" w14:textId="2E5C0EB6" w:rsidR="006C6A7A" w:rsidRPr="00A2680F" w:rsidRDefault="006C6A7A" w:rsidP="00A2680F">
      <w:pPr>
        <w:ind w:left="709" w:hanging="709"/>
        <w:jc w:val="both"/>
        <w:rPr>
          <w:rFonts w:ascii="Garamond" w:hAnsi="Garamond" w:cs="Times New Roman"/>
          <w:highlight w:val="yellow"/>
          <w:lang w:val="es-ES"/>
        </w:rPr>
      </w:pPr>
      <w:r w:rsidRPr="00A2680F">
        <w:rPr>
          <w:rFonts w:ascii="Garamond" w:hAnsi="Garamond" w:cs="Times New Roman"/>
          <w:lang w:val="es-ES"/>
        </w:rPr>
        <w:t>C</w:t>
      </w:r>
      <w:r w:rsidR="0071247B" w:rsidRPr="00A2680F">
        <w:rPr>
          <w:rFonts w:ascii="Garamond" w:hAnsi="Garamond" w:cs="Times New Roman"/>
          <w:lang w:val="es-ES"/>
        </w:rPr>
        <w:t>haves</w:t>
      </w:r>
      <w:r w:rsidRPr="00A2680F">
        <w:rPr>
          <w:rFonts w:ascii="Garamond" w:hAnsi="Garamond" w:cs="Times New Roman"/>
          <w:lang w:val="es-ES"/>
        </w:rPr>
        <w:t>, María Eugenia. “Esclavizados, cimarrones y bandidos. Historias de resistencia en el valle del Chota-Mira, en el contexto de la revolución de los marqueses quiteños: 1770-1820”. En</w:t>
      </w:r>
      <w:r w:rsidR="00950E72" w:rsidRPr="00A2680F">
        <w:rPr>
          <w:rFonts w:ascii="Garamond" w:hAnsi="Garamond" w:cs="Times New Roman"/>
          <w:highlight w:val="yellow"/>
          <w:lang w:val="es-ES"/>
        </w:rPr>
        <w:t xml:space="preserve"> </w:t>
      </w:r>
      <w:r w:rsidR="00950E72" w:rsidRPr="00A2680F">
        <w:rPr>
          <w:rFonts w:ascii="Garamond" w:hAnsi="Garamond" w:cs="Times New Roman"/>
          <w:i/>
          <w:iCs/>
          <w:lang w:val="es-ES"/>
        </w:rPr>
        <w:t>Indios, negros y mestizos en la independencia,</w:t>
      </w:r>
      <w:r w:rsidRPr="00A2680F">
        <w:rPr>
          <w:rFonts w:ascii="Garamond" w:hAnsi="Garamond" w:cs="Times New Roman"/>
          <w:lang w:val="es-ES"/>
        </w:rPr>
        <w:t xml:space="preserve"> </w:t>
      </w:r>
      <w:r w:rsidR="00950E72" w:rsidRPr="00A2680F">
        <w:rPr>
          <w:rFonts w:ascii="Garamond" w:hAnsi="Garamond" w:cs="Times New Roman"/>
          <w:lang w:val="es-ES"/>
        </w:rPr>
        <w:t xml:space="preserve">editado por </w:t>
      </w:r>
      <w:r w:rsidRPr="00A2680F">
        <w:rPr>
          <w:rFonts w:ascii="Garamond" w:hAnsi="Garamond" w:cs="Times New Roman"/>
          <w:lang w:val="es-ES"/>
        </w:rPr>
        <w:t>Heraclio Bonilla. Bogotá: Editorial Planeta,</w:t>
      </w:r>
      <w:r w:rsidR="00950E72" w:rsidRPr="00A2680F">
        <w:rPr>
          <w:rFonts w:ascii="Garamond" w:hAnsi="Garamond" w:cs="Times New Roman"/>
          <w:lang w:val="es-ES"/>
        </w:rPr>
        <w:t xml:space="preserve"> 2010,</w:t>
      </w:r>
      <w:r w:rsidRPr="00A2680F">
        <w:rPr>
          <w:rFonts w:ascii="Garamond" w:hAnsi="Garamond" w:cs="Times New Roman"/>
          <w:lang w:val="es-ES"/>
        </w:rPr>
        <w:t xml:space="preserve"> 130-149. </w:t>
      </w:r>
    </w:p>
    <w:p w14:paraId="0D352CF7" w14:textId="31000D3C" w:rsidR="002017C2" w:rsidRPr="00A2680F" w:rsidRDefault="002017C2" w:rsidP="00A2680F">
      <w:pPr>
        <w:ind w:left="709" w:hanging="709"/>
        <w:jc w:val="both"/>
        <w:rPr>
          <w:rFonts w:ascii="Garamond" w:hAnsi="Garamond" w:cs="Times New Roman"/>
          <w:lang w:val="es-ES"/>
        </w:rPr>
      </w:pPr>
      <w:r w:rsidRPr="00A2680F">
        <w:rPr>
          <w:rFonts w:ascii="Garamond" w:hAnsi="Garamond" w:cs="Times New Roman"/>
          <w:lang w:val="es-ES"/>
        </w:rPr>
        <w:t>E</w:t>
      </w:r>
      <w:r w:rsidR="00950E72" w:rsidRPr="00A2680F">
        <w:rPr>
          <w:rFonts w:ascii="Garamond" w:hAnsi="Garamond" w:cs="Times New Roman"/>
          <w:lang w:val="es-ES"/>
        </w:rPr>
        <w:t>cheverri</w:t>
      </w:r>
      <w:r w:rsidRPr="00A2680F">
        <w:rPr>
          <w:rFonts w:ascii="Garamond" w:hAnsi="Garamond" w:cs="Times New Roman"/>
          <w:lang w:val="es-ES"/>
        </w:rPr>
        <w:t xml:space="preserve">, Marcela. </w:t>
      </w:r>
      <w:r w:rsidR="00DC7958" w:rsidRPr="00A2680F">
        <w:rPr>
          <w:rFonts w:ascii="Garamond" w:hAnsi="Garamond" w:cs="Times New Roman"/>
          <w:lang w:val="es-ES"/>
        </w:rPr>
        <w:t>“Conflicto y hegemonía en el suroccidente de la Nueva Granada, 1780-1800</w:t>
      </w:r>
      <w:r w:rsidR="00950E72" w:rsidRPr="00A2680F">
        <w:rPr>
          <w:rFonts w:ascii="Garamond" w:hAnsi="Garamond" w:cs="Times New Roman"/>
          <w:lang w:val="es-ES"/>
        </w:rPr>
        <w:t>”</w:t>
      </w:r>
      <w:r w:rsidR="00DC7958" w:rsidRPr="00A2680F">
        <w:rPr>
          <w:rFonts w:ascii="Garamond" w:hAnsi="Garamond" w:cs="Times New Roman"/>
          <w:lang w:val="es-ES"/>
        </w:rPr>
        <w:t xml:space="preserve">. Fronteras de la Historia </w:t>
      </w:r>
      <w:r w:rsidR="00B133D8" w:rsidRPr="00A2680F">
        <w:rPr>
          <w:rFonts w:ascii="Garamond" w:hAnsi="Garamond" w:cs="Times New Roman"/>
          <w:lang w:val="es-ES"/>
        </w:rPr>
        <w:t xml:space="preserve">No. </w:t>
      </w:r>
      <w:r w:rsidR="00DC7958" w:rsidRPr="00A2680F">
        <w:rPr>
          <w:rFonts w:ascii="Garamond" w:hAnsi="Garamond" w:cs="Times New Roman"/>
          <w:lang w:val="es-ES"/>
        </w:rPr>
        <w:t>11</w:t>
      </w:r>
      <w:r w:rsidR="00950E72" w:rsidRPr="00A2680F">
        <w:rPr>
          <w:rFonts w:ascii="Garamond" w:hAnsi="Garamond" w:cs="Times New Roman"/>
          <w:lang w:val="es-ES"/>
        </w:rPr>
        <w:t xml:space="preserve"> (2006):</w:t>
      </w:r>
      <w:r w:rsidR="00DC7958" w:rsidRPr="00A2680F">
        <w:rPr>
          <w:rFonts w:ascii="Garamond" w:hAnsi="Garamond" w:cs="Times New Roman"/>
          <w:lang w:val="es-ES"/>
        </w:rPr>
        <w:t xml:space="preserve"> 355-387. </w:t>
      </w:r>
      <w:hyperlink r:id="rId8" w:history="1">
        <w:r w:rsidR="00CC08FB" w:rsidRPr="00A2680F">
          <w:rPr>
            <w:rStyle w:val="Hipervnculo"/>
            <w:rFonts w:ascii="Garamond" w:hAnsi="Garamond" w:cs="Times New Roman"/>
            <w:lang w:val="es-ES"/>
          </w:rPr>
          <w:t>https://dialnet.unirioja.es/servlet/articulo?codigo=7138090</w:t>
        </w:r>
      </w:hyperlink>
      <w:r w:rsidR="00CC08FB" w:rsidRPr="00A2680F">
        <w:rPr>
          <w:rFonts w:ascii="Garamond" w:hAnsi="Garamond" w:cs="Times New Roman"/>
          <w:lang w:val="es-ES"/>
        </w:rPr>
        <w:t xml:space="preserve">  </w:t>
      </w:r>
    </w:p>
    <w:p w14:paraId="04D61789" w14:textId="7615DDE9" w:rsidR="00E9354A" w:rsidRPr="00A2680F" w:rsidRDefault="00E9354A" w:rsidP="00A2680F">
      <w:pPr>
        <w:autoSpaceDE w:val="0"/>
        <w:autoSpaceDN w:val="0"/>
        <w:adjustRightInd w:val="0"/>
        <w:ind w:left="709" w:hanging="709"/>
        <w:jc w:val="both"/>
        <w:rPr>
          <w:rFonts w:ascii="Garamond" w:hAnsi="Garamond" w:cs="Times New Roman"/>
          <w:lang w:val="es-ES"/>
        </w:rPr>
      </w:pPr>
      <w:r w:rsidRPr="00A2680F">
        <w:rPr>
          <w:rFonts w:ascii="Garamond" w:hAnsi="Garamond" w:cs="Times New Roman"/>
        </w:rPr>
        <w:t>F</w:t>
      </w:r>
      <w:r w:rsidR="00B133D8" w:rsidRPr="00A2680F">
        <w:rPr>
          <w:rFonts w:ascii="Garamond" w:hAnsi="Garamond" w:cs="Times New Roman"/>
        </w:rPr>
        <w:t>attacciu</w:t>
      </w:r>
      <w:r w:rsidRPr="00A2680F">
        <w:rPr>
          <w:rFonts w:ascii="Garamond" w:hAnsi="Garamond" w:cs="Times New Roman"/>
        </w:rPr>
        <w:t xml:space="preserve">, Irene. “Il corpo della madre schiava, i corpi dei figli. Forme di resistenza alla schiavitù nell’America del XIX secolo”. Storia delle donne, </w:t>
      </w:r>
      <w:r w:rsidR="00B133D8" w:rsidRPr="00A2680F">
        <w:rPr>
          <w:rFonts w:ascii="Garamond" w:hAnsi="Garamond" w:cs="Times New Roman"/>
        </w:rPr>
        <w:t>No.</w:t>
      </w:r>
      <w:r w:rsidR="00193F27" w:rsidRPr="00A2680F">
        <w:rPr>
          <w:rFonts w:ascii="Garamond" w:hAnsi="Garamond" w:cs="Times New Roman"/>
        </w:rPr>
        <w:t xml:space="preserve"> </w:t>
      </w:r>
      <w:r w:rsidRPr="00A2680F">
        <w:rPr>
          <w:rFonts w:ascii="Garamond" w:hAnsi="Garamond" w:cs="Times New Roman"/>
        </w:rPr>
        <w:t>5</w:t>
      </w:r>
      <w:r w:rsidR="00B133D8" w:rsidRPr="00A2680F">
        <w:rPr>
          <w:rFonts w:ascii="Garamond" w:hAnsi="Garamond" w:cs="Times New Roman"/>
        </w:rPr>
        <w:t xml:space="preserve"> (2009):</w:t>
      </w:r>
      <w:r w:rsidRPr="00A2680F">
        <w:rPr>
          <w:rFonts w:ascii="Garamond" w:hAnsi="Garamond" w:cs="Times New Roman"/>
        </w:rPr>
        <w:t xml:space="preserve"> 167-183. </w:t>
      </w:r>
      <w:hyperlink r:id="rId9" w:history="1">
        <w:r w:rsidRPr="00A2680F">
          <w:rPr>
            <w:rStyle w:val="Hipervnculo"/>
            <w:rFonts w:ascii="Garamond" w:hAnsi="Garamond" w:cs="Times New Roman"/>
          </w:rPr>
          <w:t>http://www.fupress.net/index.php/sdd/article/view/8445/7923</w:t>
        </w:r>
      </w:hyperlink>
    </w:p>
    <w:p w14:paraId="2451841D" w14:textId="36671100" w:rsidR="00F751C3" w:rsidRPr="00A2680F" w:rsidRDefault="00A7185D" w:rsidP="00A2680F">
      <w:pPr>
        <w:ind w:left="709" w:hanging="709"/>
        <w:jc w:val="both"/>
        <w:rPr>
          <w:rFonts w:ascii="Garamond" w:hAnsi="Garamond" w:cs="Times New Roman"/>
          <w:lang w:val="pt-PT"/>
        </w:rPr>
      </w:pPr>
      <w:r w:rsidRPr="00A2680F">
        <w:rPr>
          <w:rFonts w:ascii="Garamond" w:hAnsi="Garamond" w:cs="Times New Roman"/>
        </w:rPr>
        <w:t>G</w:t>
      </w:r>
      <w:r w:rsidR="00B133D8" w:rsidRPr="00A2680F">
        <w:rPr>
          <w:rFonts w:ascii="Garamond" w:hAnsi="Garamond" w:cs="Times New Roman"/>
        </w:rPr>
        <w:t>onzález</w:t>
      </w:r>
      <w:r w:rsidR="00F751C3" w:rsidRPr="00A2680F">
        <w:rPr>
          <w:rFonts w:ascii="Garamond" w:hAnsi="Garamond" w:cs="Times New Roman"/>
        </w:rPr>
        <w:t>, C</w:t>
      </w:r>
      <w:r w:rsidRPr="00A2680F">
        <w:rPr>
          <w:rFonts w:ascii="Garamond" w:hAnsi="Garamond" w:cs="Times New Roman"/>
        </w:rPr>
        <w:t>arolina</w:t>
      </w:r>
      <w:r w:rsidR="005B4B1B" w:rsidRPr="00A2680F">
        <w:rPr>
          <w:rFonts w:ascii="Garamond" w:hAnsi="Garamond" w:cs="Times New Roman"/>
        </w:rPr>
        <w:t>.</w:t>
      </w:r>
      <w:r w:rsidR="00F751C3" w:rsidRPr="00A2680F">
        <w:rPr>
          <w:rFonts w:ascii="Garamond" w:hAnsi="Garamond" w:cs="Times New Roman"/>
        </w:rPr>
        <w:t xml:space="preserve"> “El abogado y procurador de pobres: la representación de esclavos y esclavas a fines de la Colonia y</w:t>
      </w:r>
      <w:r w:rsidR="005B4B1B" w:rsidRPr="00A2680F">
        <w:rPr>
          <w:rFonts w:ascii="Garamond" w:hAnsi="Garamond" w:cs="Times New Roman"/>
        </w:rPr>
        <w:t xml:space="preserve"> principios de la República”.</w:t>
      </w:r>
      <w:r w:rsidR="004E72FE" w:rsidRPr="00A2680F">
        <w:rPr>
          <w:rFonts w:ascii="Garamond" w:hAnsi="Garamond" w:cs="Times New Roman"/>
        </w:rPr>
        <w:t xml:space="preserve"> </w:t>
      </w:r>
      <w:r w:rsidR="00F751C3" w:rsidRPr="00A2680F">
        <w:rPr>
          <w:rFonts w:ascii="Garamond" w:hAnsi="Garamond" w:cs="Times New Roman"/>
          <w:iCs/>
          <w:lang w:val="pt-PT"/>
        </w:rPr>
        <w:t>Sudhistoria</w:t>
      </w:r>
      <w:r w:rsidR="00C95121" w:rsidRPr="00A2680F">
        <w:rPr>
          <w:rFonts w:ascii="Garamond" w:hAnsi="Garamond" w:cs="Times New Roman"/>
          <w:iCs/>
          <w:lang w:val="pt-PT"/>
        </w:rPr>
        <w:t>: Revista digital en estudios desde el sur</w:t>
      </w:r>
      <w:r w:rsidR="005B4B1B" w:rsidRPr="00A2680F">
        <w:rPr>
          <w:rFonts w:ascii="Garamond" w:hAnsi="Garamond" w:cs="Times New Roman"/>
          <w:iCs/>
          <w:lang w:val="pt-PT"/>
        </w:rPr>
        <w:t xml:space="preserve"> </w:t>
      </w:r>
      <w:r w:rsidR="00B133D8" w:rsidRPr="00A2680F">
        <w:rPr>
          <w:rFonts w:ascii="Garamond" w:hAnsi="Garamond" w:cs="Times New Roman"/>
          <w:iCs/>
          <w:lang w:val="pt-PT"/>
        </w:rPr>
        <w:t xml:space="preserve">No. </w:t>
      </w:r>
      <w:r w:rsidR="005B4B1B" w:rsidRPr="00A2680F">
        <w:rPr>
          <w:rFonts w:ascii="Garamond" w:hAnsi="Garamond" w:cs="Times New Roman"/>
          <w:iCs/>
          <w:lang w:val="pt-PT"/>
        </w:rPr>
        <w:t>5</w:t>
      </w:r>
      <w:r w:rsidR="00B133D8" w:rsidRPr="00A2680F">
        <w:rPr>
          <w:rFonts w:ascii="Garamond" w:hAnsi="Garamond" w:cs="Times New Roman"/>
          <w:lang w:val="pt-PT"/>
        </w:rPr>
        <w:t xml:space="preserve"> </w:t>
      </w:r>
      <w:r w:rsidR="00B133D8" w:rsidRPr="00A2680F">
        <w:rPr>
          <w:rFonts w:ascii="Garamond" w:hAnsi="Garamond" w:cs="Times New Roman"/>
        </w:rPr>
        <w:t>(julio-diciembre 2012):</w:t>
      </w:r>
      <w:r w:rsidR="00F751C3" w:rsidRPr="00A2680F">
        <w:rPr>
          <w:rFonts w:ascii="Garamond" w:hAnsi="Garamond" w:cs="Times New Roman"/>
          <w:lang w:val="pt-PT"/>
        </w:rPr>
        <w:t xml:space="preserve"> 81-98</w:t>
      </w:r>
      <w:r w:rsidR="00C95121" w:rsidRPr="00A2680F">
        <w:rPr>
          <w:rFonts w:ascii="Garamond" w:hAnsi="Garamond" w:cs="Times New Roman"/>
          <w:lang w:val="pt-PT"/>
        </w:rPr>
        <w:t xml:space="preserve">. </w:t>
      </w:r>
      <w:hyperlink r:id="rId10" w:history="1">
        <w:r w:rsidR="00C95121" w:rsidRPr="00A2680F">
          <w:rPr>
            <w:rStyle w:val="Hipervnculo"/>
            <w:rFonts w:ascii="Garamond" w:hAnsi="Garamond" w:cs="Times New Roman"/>
            <w:lang w:val="pt-PT"/>
          </w:rPr>
          <w:t>https://dialnet.unirioja.es/servlet/articulo?codigo=4095518</w:t>
        </w:r>
      </w:hyperlink>
      <w:r w:rsidR="00C95121" w:rsidRPr="00A2680F">
        <w:rPr>
          <w:rFonts w:ascii="Garamond" w:hAnsi="Garamond" w:cs="Times New Roman"/>
          <w:lang w:val="pt-PT"/>
        </w:rPr>
        <w:t xml:space="preserve"> </w:t>
      </w:r>
    </w:p>
    <w:p w14:paraId="66461FDA" w14:textId="0DC357FB" w:rsidR="00454BD6" w:rsidRPr="00A2680F" w:rsidRDefault="00A7185D" w:rsidP="00A2680F">
      <w:pPr>
        <w:ind w:left="709" w:hanging="709"/>
        <w:jc w:val="both"/>
        <w:rPr>
          <w:rFonts w:ascii="Garamond" w:hAnsi="Garamond" w:cs="Times New Roman"/>
        </w:rPr>
      </w:pPr>
      <w:r w:rsidRPr="00A2680F">
        <w:rPr>
          <w:rFonts w:ascii="Garamond" w:hAnsi="Garamond" w:cs="Times New Roman"/>
        </w:rPr>
        <w:lastRenderedPageBreak/>
        <w:t>G</w:t>
      </w:r>
      <w:r w:rsidR="0036726E" w:rsidRPr="00A2680F">
        <w:rPr>
          <w:rFonts w:ascii="Garamond" w:hAnsi="Garamond" w:cs="Times New Roman"/>
        </w:rPr>
        <w:t>uerrero Rincón</w:t>
      </w:r>
      <w:r w:rsidR="004F03F2" w:rsidRPr="00A2680F">
        <w:rPr>
          <w:rFonts w:ascii="Garamond" w:hAnsi="Garamond" w:cs="Times New Roman"/>
        </w:rPr>
        <w:t>, A</w:t>
      </w:r>
      <w:r w:rsidRPr="00A2680F">
        <w:rPr>
          <w:rFonts w:ascii="Garamond" w:hAnsi="Garamond" w:cs="Times New Roman"/>
        </w:rPr>
        <w:t>mado</w:t>
      </w:r>
      <w:r w:rsidR="004F03F2" w:rsidRPr="00A2680F">
        <w:rPr>
          <w:rFonts w:ascii="Garamond" w:hAnsi="Garamond" w:cs="Times New Roman"/>
        </w:rPr>
        <w:t xml:space="preserve"> A</w:t>
      </w:r>
      <w:r w:rsidRPr="00A2680F">
        <w:rPr>
          <w:rFonts w:ascii="Garamond" w:hAnsi="Garamond" w:cs="Times New Roman"/>
        </w:rPr>
        <w:t>ntonio</w:t>
      </w:r>
      <w:r w:rsidR="005B4B1B" w:rsidRPr="00A2680F">
        <w:rPr>
          <w:rFonts w:ascii="Garamond" w:hAnsi="Garamond" w:cs="Times New Roman"/>
        </w:rPr>
        <w:t xml:space="preserve"> y</w:t>
      </w:r>
      <w:r w:rsidR="0036726E" w:rsidRPr="00A2680F">
        <w:rPr>
          <w:rFonts w:ascii="Garamond" w:hAnsi="Garamond" w:cs="Times New Roman"/>
        </w:rPr>
        <w:t xml:space="preserve"> Armando Martínez </w:t>
      </w:r>
      <w:r w:rsidR="009956FB" w:rsidRPr="00A2680F">
        <w:rPr>
          <w:rFonts w:ascii="Garamond" w:hAnsi="Garamond" w:cs="Times New Roman"/>
        </w:rPr>
        <w:t>Garnica</w:t>
      </w:r>
      <w:r w:rsidR="004F03F2"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La provincia de Los Comuneros. Orígenes de sus poblamientos urbanos</w:t>
      </w:r>
      <w:r w:rsidR="00454BD6" w:rsidRPr="00A2680F">
        <w:rPr>
          <w:rFonts w:ascii="Garamond" w:hAnsi="Garamond" w:cs="Times New Roman"/>
          <w:i/>
        </w:rPr>
        <w:t>.</w:t>
      </w:r>
      <w:r w:rsidR="004F03F2" w:rsidRPr="00A2680F">
        <w:rPr>
          <w:rFonts w:ascii="Garamond" w:hAnsi="Garamond" w:cs="Times New Roman"/>
        </w:rPr>
        <w:t xml:space="preserve"> Bucaramanga: Ediciones UIS</w:t>
      </w:r>
      <w:r w:rsidR="0036726E" w:rsidRPr="00A2680F">
        <w:rPr>
          <w:rFonts w:ascii="Garamond" w:hAnsi="Garamond" w:cs="Times New Roman"/>
        </w:rPr>
        <w:t>, 1997</w:t>
      </w:r>
      <w:r w:rsidR="00454BD6" w:rsidRPr="00A2680F">
        <w:rPr>
          <w:rFonts w:ascii="Garamond" w:hAnsi="Garamond" w:cs="Times New Roman"/>
        </w:rPr>
        <w:t>.</w:t>
      </w:r>
    </w:p>
    <w:p w14:paraId="2B40EDCD" w14:textId="43B3AC56" w:rsidR="006120E0" w:rsidRPr="00A2680F" w:rsidRDefault="00A7185D" w:rsidP="00A2680F">
      <w:pPr>
        <w:ind w:left="709" w:hanging="709"/>
        <w:jc w:val="both"/>
        <w:rPr>
          <w:rFonts w:ascii="Garamond" w:hAnsi="Garamond" w:cs="Times New Roman"/>
        </w:rPr>
      </w:pPr>
      <w:r w:rsidRPr="00A2680F">
        <w:rPr>
          <w:rFonts w:ascii="Garamond" w:hAnsi="Garamond" w:cs="Times New Roman"/>
        </w:rPr>
        <w:t>G</w:t>
      </w:r>
      <w:r w:rsidR="0036726E" w:rsidRPr="00A2680F">
        <w:rPr>
          <w:rFonts w:ascii="Garamond" w:hAnsi="Garamond" w:cs="Times New Roman"/>
        </w:rPr>
        <w:t>utiérrez de Pineda</w:t>
      </w:r>
      <w:r w:rsidR="006120E0" w:rsidRPr="00A2680F">
        <w:rPr>
          <w:rFonts w:ascii="Garamond" w:hAnsi="Garamond" w:cs="Times New Roman"/>
        </w:rPr>
        <w:t>, Virginia y</w:t>
      </w:r>
      <w:r w:rsidR="0036726E" w:rsidRPr="00A2680F">
        <w:rPr>
          <w:rFonts w:ascii="Garamond" w:hAnsi="Garamond" w:cs="Times New Roman"/>
        </w:rPr>
        <w:t xml:space="preserve"> Roberto</w:t>
      </w:r>
      <w:r w:rsidR="006120E0" w:rsidRPr="00A2680F">
        <w:rPr>
          <w:rFonts w:ascii="Garamond" w:hAnsi="Garamond" w:cs="Times New Roman"/>
        </w:rPr>
        <w:t xml:space="preserve"> </w:t>
      </w:r>
      <w:r w:rsidRPr="00A2680F">
        <w:rPr>
          <w:rFonts w:ascii="Garamond" w:hAnsi="Garamond" w:cs="Times New Roman"/>
        </w:rPr>
        <w:t>P</w:t>
      </w:r>
      <w:r w:rsidR="0036726E" w:rsidRPr="00A2680F">
        <w:rPr>
          <w:rFonts w:ascii="Garamond" w:hAnsi="Garamond" w:cs="Times New Roman"/>
        </w:rPr>
        <w:t>ineda Giraldo</w:t>
      </w:r>
      <w:r w:rsidR="006120E0" w:rsidRPr="00A2680F">
        <w:rPr>
          <w:rFonts w:ascii="Garamond" w:hAnsi="Garamond" w:cs="Times New Roman"/>
        </w:rPr>
        <w:t xml:space="preserve">. </w:t>
      </w:r>
      <w:r w:rsidR="006120E0" w:rsidRPr="00A2680F">
        <w:rPr>
          <w:rFonts w:ascii="Garamond" w:hAnsi="Garamond" w:cs="Times New Roman"/>
          <w:iCs/>
        </w:rPr>
        <w:t>Miscegenación y cultura en la Colombia colonial, 1750-1810</w:t>
      </w:r>
      <w:r w:rsidR="006120E0" w:rsidRPr="00A2680F">
        <w:rPr>
          <w:rFonts w:ascii="Garamond" w:hAnsi="Garamond" w:cs="Times New Roman"/>
        </w:rPr>
        <w:t>, t</w:t>
      </w:r>
      <w:r w:rsidR="000F767D" w:rsidRPr="00A2680F">
        <w:rPr>
          <w:rFonts w:ascii="Garamond" w:hAnsi="Garamond" w:cs="Times New Roman"/>
        </w:rPr>
        <w:t>omo</w:t>
      </w:r>
      <w:r w:rsidR="006120E0" w:rsidRPr="00A2680F">
        <w:rPr>
          <w:rFonts w:ascii="Garamond" w:hAnsi="Garamond" w:cs="Times New Roman"/>
        </w:rPr>
        <w:t xml:space="preserve"> 2. Santafé de Bogotá: Uniandes – Colciencias</w:t>
      </w:r>
      <w:r w:rsidR="0036726E" w:rsidRPr="00A2680F">
        <w:rPr>
          <w:rFonts w:ascii="Garamond" w:hAnsi="Garamond" w:cs="Times New Roman"/>
        </w:rPr>
        <w:t>, 1999</w:t>
      </w:r>
      <w:r w:rsidR="006120E0" w:rsidRPr="00A2680F">
        <w:rPr>
          <w:rFonts w:ascii="Garamond" w:hAnsi="Garamond" w:cs="Times New Roman"/>
        </w:rPr>
        <w:t>.</w:t>
      </w:r>
    </w:p>
    <w:p w14:paraId="05DFF06E" w14:textId="2F31CE0E" w:rsidR="005B70DB" w:rsidRPr="00A2680F" w:rsidRDefault="005B70DB" w:rsidP="00A2680F">
      <w:pPr>
        <w:jc w:val="both"/>
        <w:rPr>
          <w:rFonts w:ascii="Garamond" w:hAnsi="Garamond" w:cs="Times New Roman"/>
          <w:lang w:val="es-ES"/>
        </w:rPr>
      </w:pPr>
      <w:r w:rsidRPr="00A2680F">
        <w:rPr>
          <w:rFonts w:ascii="Garamond" w:hAnsi="Garamond" w:cs="Times New Roman"/>
          <w:lang w:val="pt-PT"/>
        </w:rPr>
        <w:t>H</w:t>
      </w:r>
      <w:r w:rsidR="000F767D" w:rsidRPr="00A2680F">
        <w:rPr>
          <w:rFonts w:ascii="Garamond" w:hAnsi="Garamond" w:cs="Times New Roman"/>
          <w:lang w:val="pt-PT"/>
        </w:rPr>
        <w:t>aring</w:t>
      </w:r>
      <w:r w:rsidRPr="00A2680F">
        <w:rPr>
          <w:rFonts w:ascii="Garamond" w:hAnsi="Garamond" w:cs="Times New Roman"/>
          <w:lang w:val="pt-PT"/>
        </w:rPr>
        <w:t xml:space="preserve">, C. H.. </w:t>
      </w:r>
      <w:r w:rsidRPr="00A2680F">
        <w:rPr>
          <w:rFonts w:ascii="Garamond" w:hAnsi="Garamond" w:cs="Times New Roman"/>
          <w:iCs/>
        </w:rPr>
        <w:t>El Imperio Español en América</w:t>
      </w:r>
      <w:r w:rsidRPr="00A2680F">
        <w:rPr>
          <w:rFonts w:ascii="Garamond" w:hAnsi="Garamond" w:cs="Times New Roman"/>
        </w:rPr>
        <w:t>. México: Alianza Editorial Mexicana</w:t>
      </w:r>
      <w:r w:rsidR="000F767D" w:rsidRPr="00A2680F">
        <w:rPr>
          <w:rFonts w:ascii="Garamond" w:hAnsi="Garamond" w:cs="Times New Roman"/>
        </w:rPr>
        <w:t>, 1990</w:t>
      </w:r>
      <w:r w:rsidRPr="00A2680F">
        <w:rPr>
          <w:rFonts w:ascii="Garamond" w:hAnsi="Garamond" w:cs="Times New Roman"/>
        </w:rPr>
        <w:t>.</w:t>
      </w:r>
    </w:p>
    <w:p w14:paraId="25B7B9D6" w14:textId="3C1431D3" w:rsidR="00A80892" w:rsidRPr="00A2680F" w:rsidRDefault="00A7185D" w:rsidP="00A2680F">
      <w:pPr>
        <w:ind w:left="709" w:hanging="709"/>
        <w:jc w:val="both"/>
        <w:rPr>
          <w:rFonts w:ascii="Garamond" w:hAnsi="Garamond" w:cs="Times New Roman"/>
        </w:rPr>
      </w:pPr>
      <w:r w:rsidRPr="00A2680F">
        <w:rPr>
          <w:rFonts w:ascii="Garamond" w:hAnsi="Garamond" w:cs="Times New Roman"/>
        </w:rPr>
        <w:t>H</w:t>
      </w:r>
      <w:r w:rsidR="000F767D" w:rsidRPr="00A2680F">
        <w:rPr>
          <w:rFonts w:ascii="Garamond" w:hAnsi="Garamond" w:cs="Times New Roman"/>
        </w:rPr>
        <w:t>errera</w:t>
      </w:r>
      <w:r w:rsidRPr="00A2680F">
        <w:rPr>
          <w:rFonts w:ascii="Garamond" w:hAnsi="Garamond" w:cs="Times New Roman"/>
        </w:rPr>
        <w:t xml:space="preserve"> Á</w:t>
      </w:r>
      <w:r w:rsidR="000F767D" w:rsidRPr="00A2680F">
        <w:rPr>
          <w:rFonts w:ascii="Garamond" w:hAnsi="Garamond" w:cs="Times New Roman"/>
        </w:rPr>
        <w:t>ngel</w:t>
      </w:r>
      <w:r w:rsidR="00A80892" w:rsidRPr="00A2680F">
        <w:rPr>
          <w:rFonts w:ascii="Garamond" w:hAnsi="Garamond" w:cs="Times New Roman"/>
        </w:rPr>
        <w:t>, M</w:t>
      </w:r>
      <w:r w:rsidRPr="00A2680F">
        <w:rPr>
          <w:rFonts w:ascii="Garamond" w:hAnsi="Garamond" w:cs="Times New Roman"/>
        </w:rPr>
        <w:t>artha</w:t>
      </w:r>
      <w:r w:rsidR="00A80892" w:rsidRPr="00A2680F">
        <w:rPr>
          <w:rFonts w:ascii="Garamond" w:hAnsi="Garamond" w:cs="Times New Roman"/>
        </w:rPr>
        <w:t xml:space="preserve">. “En un rincón de ese imperio en que no se ocultaba el sol: colonialismo, oro y terror en Barbacoas. Siglo XVIII”. </w:t>
      </w:r>
      <w:r w:rsidR="00A80892" w:rsidRPr="00A2680F">
        <w:rPr>
          <w:rFonts w:ascii="Garamond" w:hAnsi="Garamond" w:cs="Times New Roman"/>
          <w:iCs/>
        </w:rPr>
        <w:t>Anuario Colombiano de Historia Social y de la Cultura</w:t>
      </w:r>
      <w:r w:rsidR="00A80892" w:rsidRPr="00A2680F">
        <w:rPr>
          <w:rFonts w:ascii="Garamond" w:hAnsi="Garamond" w:cs="Times New Roman"/>
        </w:rPr>
        <w:t xml:space="preserve">, </w:t>
      </w:r>
      <w:r w:rsidR="000F767D" w:rsidRPr="00A2680F">
        <w:rPr>
          <w:rFonts w:ascii="Garamond" w:hAnsi="Garamond" w:cs="Times New Roman"/>
        </w:rPr>
        <w:t xml:space="preserve">No. </w:t>
      </w:r>
      <w:r w:rsidR="00A80892" w:rsidRPr="00A2680F">
        <w:rPr>
          <w:rFonts w:ascii="Garamond" w:hAnsi="Garamond" w:cs="Times New Roman"/>
        </w:rPr>
        <w:t>32</w:t>
      </w:r>
      <w:r w:rsidR="000F767D" w:rsidRPr="00A2680F">
        <w:rPr>
          <w:rFonts w:ascii="Garamond" w:hAnsi="Garamond" w:cs="Times New Roman"/>
        </w:rPr>
        <w:t xml:space="preserve"> (2005):</w:t>
      </w:r>
      <w:r w:rsidR="00A80892" w:rsidRPr="00A2680F">
        <w:rPr>
          <w:rFonts w:ascii="Garamond" w:hAnsi="Garamond" w:cs="Times New Roman"/>
        </w:rPr>
        <w:t xml:space="preserve"> 31-49. </w:t>
      </w:r>
    </w:p>
    <w:p w14:paraId="1461120C" w14:textId="1AF1663B" w:rsidR="0018308B" w:rsidRPr="00A2680F" w:rsidRDefault="00A7185D" w:rsidP="00A2680F">
      <w:pPr>
        <w:spacing w:after="0"/>
        <w:ind w:left="709" w:hanging="709"/>
        <w:jc w:val="both"/>
        <w:rPr>
          <w:rStyle w:val="Hipervnculo"/>
          <w:rFonts w:ascii="Garamond" w:hAnsi="Garamond" w:cs="Times New Roman"/>
          <w:color w:val="auto"/>
          <w:u w:val="none"/>
        </w:rPr>
      </w:pPr>
      <w:r w:rsidRPr="00A2680F">
        <w:rPr>
          <w:rFonts w:ascii="Garamond" w:hAnsi="Garamond" w:cs="Times New Roman"/>
        </w:rPr>
        <w:t>K</w:t>
      </w:r>
      <w:r w:rsidR="000F767D" w:rsidRPr="00A2680F">
        <w:rPr>
          <w:rFonts w:ascii="Garamond" w:hAnsi="Garamond" w:cs="Times New Roman"/>
        </w:rPr>
        <w:t>luger</w:t>
      </w:r>
      <w:r w:rsidR="0018308B" w:rsidRPr="00A2680F">
        <w:rPr>
          <w:rFonts w:ascii="Garamond" w:hAnsi="Garamond" w:cs="Times New Roman"/>
        </w:rPr>
        <w:t>, V</w:t>
      </w:r>
      <w:r w:rsidRPr="00A2680F">
        <w:rPr>
          <w:rFonts w:ascii="Garamond" w:hAnsi="Garamond" w:cs="Times New Roman"/>
        </w:rPr>
        <w:t>iviana</w:t>
      </w:r>
      <w:r w:rsidR="0018308B" w:rsidRPr="00A2680F">
        <w:rPr>
          <w:rFonts w:ascii="Garamond" w:hAnsi="Garamond" w:cs="Times New Roman"/>
        </w:rPr>
        <w:t xml:space="preserve">. “¿Todo tiempo pasado fue mejor? La condición jurídica del esclavo a través de la mirada de los fiscales de la Audiencia de Buenos Aires (1785-1812)”. </w:t>
      </w:r>
      <w:r w:rsidR="0018308B" w:rsidRPr="00A2680F">
        <w:rPr>
          <w:rFonts w:ascii="Garamond" w:hAnsi="Garamond" w:cs="Times New Roman"/>
          <w:iCs/>
        </w:rPr>
        <w:t>Revista Jurídica Universidad Interamericana de Puerto Rico</w:t>
      </w:r>
      <w:r w:rsidR="000F767D" w:rsidRPr="00A2680F">
        <w:rPr>
          <w:rFonts w:ascii="Garamond" w:hAnsi="Garamond" w:cs="Times New Roman"/>
        </w:rPr>
        <w:t xml:space="preserve"> (septiembre-diciembre 2003):</w:t>
      </w:r>
      <w:r w:rsidR="0018308B" w:rsidRPr="00A2680F">
        <w:rPr>
          <w:rFonts w:ascii="Garamond" w:hAnsi="Garamond" w:cs="Times New Roman"/>
        </w:rPr>
        <w:t xml:space="preserve"> 1-19. </w:t>
      </w:r>
      <w:hyperlink r:id="rId11" w:history="1">
        <w:r w:rsidR="0018308B" w:rsidRPr="00A2680F">
          <w:rPr>
            <w:rStyle w:val="Hipervnculo"/>
            <w:rFonts w:ascii="Garamond" w:hAnsi="Garamond" w:cs="Times New Roman"/>
            <w:color w:val="auto"/>
          </w:rPr>
          <w:t>http://www.vivianakluger.com.ar/articulos/Todo%20tiempo%20pasado%20fue%20mejor.pdf</w:t>
        </w:r>
      </w:hyperlink>
      <w:r w:rsidR="0018308B" w:rsidRPr="00A2680F">
        <w:rPr>
          <w:rStyle w:val="Hipervnculo"/>
          <w:rFonts w:ascii="Garamond" w:hAnsi="Garamond" w:cs="Times New Roman"/>
          <w:color w:val="auto"/>
        </w:rPr>
        <w:t>.</w:t>
      </w:r>
    </w:p>
    <w:p w14:paraId="6AFE1EE3" w14:textId="57A5003C" w:rsidR="009C2FC2" w:rsidRPr="00A2680F" w:rsidRDefault="00A7185D" w:rsidP="00A2680F">
      <w:pPr>
        <w:ind w:left="709" w:hanging="709"/>
        <w:jc w:val="both"/>
        <w:rPr>
          <w:rFonts w:ascii="Garamond" w:hAnsi="Garamond" w:cs="Times New Roman"/>
        </w:rPr>
      </w:pPr>
      <w:r w:rsidRPr="00A2680F">
        <w:rPr>
          <w:rFonts w:ascii="Garamond" w:hAnsi="Garamond" w:cs="Times New Roman"/>
        </w:rPr>
        <w:t>P</w:t>
      </w:r>
      <w:r w:rsidR="004028FD" w:rsidRPr="00A2680F">
        <w:rPr>
          <w:rFonts w:ascii="Garamond" w:hAnsi="Garamond" w:cs="Times New Roman"/>
        </w:rPr>
        <w:t>astor</w:t>
      </w:r>
      <w:r w:rsidR="009C2FC2" w:rsidRPr="00A2680F">
        <w:rPr>
          <w:rFonts w:ascii="Garamond" w:hAnsi="Garamond" w:cs="Times New Roman"/>
        </w:rPr>
        <w:t>, M</w:t>
      </w:r>
      <w:r w:rsidR="00F52485" w:rsidRPr="00A2680F">
        <w:rPr>
          <w:rFonts w:ascii="Garamond" w:hAnsi="Garamond" w:cs="Times New Roman"/>
        </w:rPr>
        <w:t>aría</w:t>
      </w:r>
      <w:r w:rsidR="009C2FC2" w:rsidRPr="00A2680F">
        <w:rPr>
          <w:rFonts w:ascii="Garamond" w:hAnsi="Garamond" w:cs="Times New Roman"/>
        </w:rPr>
        <w:t xml:space="preserve"> A</w:t>
      </w:r>
      <w:r w:rsidR="00F52485" w:rsidRPr="00A2680F">
        <w:rPr>
          <w:rFonts w:ascii="Garamond" w:hAnsi="Garamond" w:cs="Times New Roman"/>
        </w:rPr>
        <w:t>lba.</w:t>
      </w:r>
      <w:r w:rsidR="009C2FC2" w:rsidRPr="00A2680F">
        <w:rPr>
          <w:rFonts w:ascii="Garamond" w:hAnsi="Garamond" w:cs="Times New Roman"/>
        </w:rPr>
        <w:t xml:space="preserve"> Crisis y recomposición social. Nueva España en el tránsito del siglo XVI al XVII. México: Fondo de Cultura Económica</w:t>
      </w:r>
      <w:r w:rsidR="004028FD" w:rsidRPr="00A2680F">
        <w:rPr>
          <w:rFonts w:ascii="Garamond" w:hAnsi="Garamond" w:cs="Times New Roman"/>
        </w:rPr>
        <w:t>, 1999</w:t>
      </w:r>
      <w:r w:rsidR="009C2FC2" w:rsidRPr="00A2680F">
        <w:rPr>
          <w:rFonts w:ascii="Garamond" w:hAnsi="Garamond" w:cs="Times New Roman"/>
        </w:rPr>
        <w:t xml:space="preserve">. </w:t>
      </w:r>
    </w:p>
    <w:p w14:paraId="74817F3F" w14:textId="270BBCAB" w:rsidR="00454BD6" w:rsidRPr="00A2680F" w:rsidRDefault="00A7185D" w:rsidP="00A2680F">
      <w:pPr>
        <w:ind w:left="709" w:hanging="709"/>
        <w:jc w:val="both"/>
        <w:rPr>
          <w:rFonts w:ascii="Garamond" w:hAnsi="Garamond" w:cs="Times New Roman"/>
        </w:rPr>
      </w:pPr>
      <w:r w:rsidRPr="00A2680F">
        <w:rPr>
          <w:rFonts w:ascii="Garamond" w:hAnsi="Garamond" w:cs="Times New Roman"/>
        </w:rPr>
        <w:t>P</w:t>
      </w:r>
      <w:r w:rsidR="00CA2A69" w:rsidRPr="00A2680F">
        <w:rPr>
          <w:rFonts w:ascii="Garamond" w:hAnsi="Garamond" w:cs="Times New Roman"/>
        </w:rPr>
        <w:t>erera Díaz</w:t>
      </w:r>
      <w:r w:rsidR="001E458D" w:rsidRPr="00A2680F">
        <w:rPr>
          <w:rFonts w:ascii="Garamond" w:hAnsi="Garamond" w:cs="Times New Roman"/>
        </w:rPr>
        <w:t>, A</w:t>
      </w:r>
      <w:r w:rsidRPr="00A2680F">
        <w:rPr>
          <w:rFonts w:ascii="Garamond" w:hAnsi="Garamond" w:cs="Times New Roman"/>
        </w:rPr>
        <w:t>isnara</w:t>
      </w:r>
      <w:r w:rsidR="005B4B1B" w:rsidRPr="00A2680F">
        <w:rPr>
          <w:rFonts w:ascii="Garamond" w:hAnsi="Garamond" w:cs="Times New Roman"/>
        </w:rPr>
        <w:t xml:space="preserve"> y</w:t>
      </w:r>
      <w:r w:rsidR="00CA2A69" w:rsidRPr="00A2680F">
        <w:rPr>
          <w:rFonts w:ascii="Garamond" w:hAnsi="Garamond" w:cs="Times New Roman"/>
        </w:rPr>
        <w:t xml:space="preserve"> María de los Ángeles Meriño Fuentes</w:t>
      </w:r>
      <w:r w:rsidR="001E458D"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Esclavitud, familia y parroquia en Cuba: Otra mirada desde la microhistoria</w:t>
      </w:r>
      <w:r w:rsidR="001E458D" w:rsidRPr="00A2680F">
        <w:rPr>
          <w:rFonts w:ascii="Garamond" w:hAnsi="Garamond" w:cs="Times New Roman"/>
        </w:rPr>
        <w:t>. Santiago de Cuba:</w:t>
      </w:r>
      <w:r w:rsidR="00454BD6" w:rsidRPr="00A2680F">
        <w:rPr>
          <w:rFonts w:ascii="Garamond" w:hAnsi="Garamond" w:cs="Times New Roman"/>
        </w:rPr>
        <w:t xml:space="preserve"> Editorial </w:t>
      </w:r>
      <w:r w:rsidR="001E458D" w:rsidRPr="00A2680F">
        <w:rPr>
          <w:rFonts w:ascii="Garamond" w:hAnsi="Garamond" w:cs="Times New Roman"/>
        </w:rPr>
        <w:t>Oriente</w:t>
      </w:r>
      <w:r w:rsidR="00CA2A69" w:rsidRPr="00A2680F">
        <w:rPr>
          <w:rFonts w:ascii="Garamond" w:hAnsi="Garamond" w:cs="Times New Roman"/>
        </w:rPr>
        <w:t>, 2006</w:t>
      </w:r>
      <w:r w:rsidR="00454BD6" w:rsidRPr="00A2680F">
        <w:rPr>
          <w:rFonts w:ascii="Garamond" w:hAnsi="Garamond" w:cs="Times New Roman"/>
        </w:rPr>
        <w:t>.</w:t>
      </w:r>
    </w:p>
    <w:p w14:paraId="0851A751" w14:textId="07D830DA" w:rsidR="009956FB" w:rsidRPr="00A2680F" w:rsidRDefault="009956FB" w:rsidP="00A2680F">
      <w:pPr>
        <w:ind w:left="709" w:hanging="709"/>
        <w:jc w:val="both"/>
        <w:rPr>
          <w:rFonts w:ascii="Garamond" w:hAnsi="Garamond" w:cs="Times New Roman"/>
        </w:rPr>
      </w:pPr>
      <w:r w:rsidRPr="00A2680F">
        <w:rPr>
          <w:rFonts w:ascii="Garamond" w:hAnsi="Garamond" w:cs="Times New Roman"/>
        </w:rPr>
        <w:t>Salazar Carreño, Robinson. Tierra y mercados.</w:t>
      </w:r>
      <w:r w:rsidR="006D506D" w:rsidRPr="00A2680F">
        <w:rPr>
          <w:rFonts w:ascii="Garamond" w:hAnsi="Garamond" w:cs="Times New Roman"/>
        </w:rPr>
        <w:t xml:space="preserve"> Campesinos, estancieros y hacendados en la jurisdicción de la villa de San Gil, siglo XVIII.</w:t>
      </w:r>
      <w:r w:rsidRPr="00A2680F">
        <w:rPr>
          <w:rFonts w:ascii="Garamond" w:hAnsi="Garamond" w:cs="Times New Roman"/>
        </w:rPr>
        <w:t xml:space="preserve"> Bogotá: Ediciones Uniandes, 2011. </w:t>
      </w:r>
    </w:p>
    <w:p w14:paraId="0BD6D1BF" w14:textId="69DDC900" w:rsidR="0063620B" w:rsidRPr="00A2680F" w:rsidRDefault="0063620B" w:rsidP="00A2680F">
      <w:pPr>
        <w:ind w:left="709" w:hanging="709"/>
        <w:jc w:val="both"/>
        <w:rPr>
          <w:rFonts w:ascii="Garamond" w:hAnsi="Garamond" w:cs="Times New Roman"/>
        </w:rPr>
      </w:pPr>
      <w:r w:rsidRPr="00A2680F">
        <w:rPr>
          <w:rFonts w:ascii="Garamond" w:hAnsi="Garamond" w:cs="Times New Roman"/>
        </w:rPr>
        <w:t xml:space="preserve">Salazar Carreño, Robinson. Familias de esclavos en la Villa de San Gil (Nuevo Reino de Granada): parentesco, supervivencia e integración social. (Tesis de doctorado, El Colegio de México, 2017). </w:t>
      </w:r>
    </w:p>
    <w:p w14:paraId="26FB85A1" w14:textId="3087284A" w:rsidR="00454BD6" w:rsidRPr="00A2680F" w:rsidRDefault="00A7185D" w:rsidP="00A2680F">
      <w:pPr>
        <w:ind w:left="709" w:hanging="709"/>
        <w:jc w:val="both"/>
        <w:rPr>
          <w:rFonts w:ascii="Garamond" w:hAnsi="Garamond" w:cs="Times New Roman"/>
        </w:rPr>
      </w:pPr>
      <w:r w:rsidRPr="00A2680F">
        <w:rPr>
          <w:rFonts w:ascii="Garamond" w:hAnsi="Garamond" w:cs="Times New Roman"/>
        </w:rPr>
        <w:t>S</w:t>
      </w:r>
      <w:r w:rsidR="00485D7D" w:rsidRPr="00A2680F">
        <w:rPr>
          <w:rFonts w:ascii="Garamond" w:hAnsi="Garamond" w:cs="Times New Roman"/>
        </w:rPr>
        <w:t>cott</w:t>
      </w:r>
      <w:r w:rsidR="00647043" w:rsidRPr="00A2680F">
        <w:rPr>
          <w:rFonts w:ascii="Garamond" w:hAnsi="Garamond" w:cs="Times New Roman"/>
        </w:rPr>
        <w:t>, J</w:t>
      </w:r>
      <w:r w:rsidRPr="00A2680F">
        <w:rPr>
          <w:rFonts w:ascii="Garamond" w:hAnsi="Garamond" w:cs="Times New Roman"/>
        </w:rPr>
        <w:t>ames</w:t>
      </w:r>
      <w:r w:rsidR="00647043"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Los dominados y el arte de la Resiste</w:t>
      </w:r>
      <w:r w:rsidR="00647043" w:rsidRPr="00A2680F">
        <w:rPr>
          <w:rFonts w:ascii="Garamond" w:hAnsi="Garamond" w:cs="Times New Roman"/>
          <w:iCs/>
        </w:rPr>
        <w:t>ncia. Discursos ocultos</w:t>
      </w:r>
      <w:r w:rsidR="00647043" w:rsidRPr="00A2680F">
        <w:rPr>
          <w:rFonts w:ascii="Garamond" w:hAnsi="Garamond" w:cs="Times New Roman"/>
          <w:i/>
        </w:rPr>
        <w:t>.</w:t>
      </w:r>
      <w:r w:rsidR="00647043" w:rsidRPr="00A2680F">
        <w:rPr>
          <w:rFonts w:ascii="Garamond" w:hAnsi="Garamond" w:cs="Times New Roman"/>
        </w:rPr>
        <w:t xml:space="preserve"> México: Ediciones Era</w:t>
      </w:r>
      <w:r w:rsidR="00485D7D" w:rsidRPr="00A2680F">
        <w:rPr>
          <w:rFonts w:ascii="Garamond" w:hAnsi="Garamond" w:cs="Times New Roman"/>
        </w:rPr>
        <w:t>, 2000</w:t>
      </w:r>
      <w:r w:rsidR="00454BD6" w:rsidRPr="00A2680F">
        <w:rPr>
          <w:rFonts w:ascii="Garamond" w:hAnsi="Garamond" w:cs="Times New Roman"/>
        </w:rPr>
        <w:t>.</w:t>
      </w:r>
    </w:p>
    <w:p w14:paraId="1A424124" w14:textId="2096B10D" w:rsidR="00454BD6" w:rsidRPr="00A2680F" w:rsidRDefault="00A7185D" w:rsidP="00A2680F">
      <w:pPr>
        <w:ind w:left="709" w:hanging="709"/>
        <w:jc w:val="both"/>
        <w:rPr>
          <w:rFonts w:ascii="Garamond" w:hAnsi="Garamond" w:cs="Times New Roman"/>
        </w:rPr>
      </w:pPr>
      <w:r w:rsidRPr="00A2680F">
        <w:rPr>
          <w:rFonts w:ascii="Garamond" w:hAnsi="Garamond" w:cs="Times New Roman"/>
        </w:rPr>
        <w:t>S</w:t>
      </w:r>
      <w:r w:rsidR="00485D7D" w:rsidRPr="00A2680F">
        <w:rPr>
          <w:rFonts w:ascii="Garamond" w:hAnsi="Garamond" w:cs="Times New Roman"/>
        </w:rPr>
        <w:t>immel</w:t>
      </w:r>
      <w:r w:rsidR="00F6232D" w:rsidRPr="00A2680F">
        <w:rPr>
          <w:rFonts w:ascii="Garamond" w:hAnsi="Garamond" w:cs="Times New Roman"/>
        </w:rPr>
        <w:t>, G</w:t>
      </w:r>
      <w:r w:rsidRPr="00A2680F">
        <w:rPr>
          <w:rFonts w:ascii="Garamond" w:hAnsi="Garamond" w:cs="Times New Roman"/>
        </w:rPr>
        <w:t>eorg</w:t>
      </w:r>
      <w:r w:rsidR="00F6232D"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Sobre la individualidad y las formas sociales</w:t>
      </w:r>
      <w:r w:rsidR="00647043" w:rsidRPr="00A2680F">
        <w:rPr>
          <w:rFonts w:ascii="Garamond" w:hAnsi="Garamond" w:cs="Times New Roman"/>
        </w:rPr>
        <w:t>. Buenos Aires:</w:t>
      </w:r>
      <w:r w:rsidR="00454BD6" w:rsidRPr="00A2680F">
        <w:rPr>
          <w:rFonts w:ascii="Garamond" w:hAnsi="Garamond" w:cs="Times New Roman"/>
        </w:rPr>
        <w:t xml:space="preserve"> Unive</w:t>
      </w:r>
      <w:r w:rsidR="00F6232D" w:rsidRPr="00A2680F">
        <w:rPr>
          <w:rFonts w:ascii="Garamond" w:hAnsi="Garamond" w:cs="Times New Roman"/>
        </w:rPr>
        <w:t>rsidad Nacional de Quilmes</w:t>
      </w:r>
      <w:r w:rsidR="00485D7D" w:rsidRPr="00A2680F">
        <w:rPr>
          <w:rFonts w:ascii="Garamond" w:hAnsi="Garamond" w:cs="Times New Roman"/>
        </w:rPr>
        <w:t>, 2002</w:t>
      </w:r>
      <w:r w:rsidR="00454BD6" w:rsidRPr="00A2680F">
        <w:rPr>
          <w:rFonts w:ascii="Garamond" w:hAnsi="Garamond" w:cs="Times New Roman"/>
        </w:rPr>
        <w:t>.</w:t>
      </w:r>
    </w:p>
    <w:p w14:paraId="7AC9B8C6" w14:textId="22FD92BA" w:rsidR="00B410DA" w:rsidRPr="00A2680F" w:rsidRDefault="00A7185D" w:rsidP="00A2680F">
      <w:pPr>
        <w:ind w:left="709" w:hanging="709"/>
        <w:jc w:val="both"/>
        <w:rPr>
          <w:rFonts w:ascii="Garamond" w:hAnsi="Garamond" w:cs="Times New Roman"/>
          <w:lang w:val="en-US"/>
        </w:rPr>
      </w:pPr>
      <w:r w:rsidRPr="00A2680F">
        <w:rPr>
          <w:rFonts w:ascii="Garamond" w:hAnsi="Garamond" w:cs="Times New Roman"/>
        </w:rPr>
        <w:t>S</w:t>
      </w:r>
      <w:r w:rsidR="00684579" w:rsidRPr="00A2680F">
        <w:rPr>
          <w:rFonts w:ascii="Garamond" w:hAnsi="Garamond" w:cs="Times New Roman"/>
        </w:rPr>
        <w:t>oulodre</w:t>
      </w:r>
      <w:r w:rsidRPr="00A2680F">
        <w:rPr>
          <w:rFonts w:ascii="Garamond" w:hAnsi="Garamond" w:cs="Times New Roman"/>
        </w:rPr>
        <w:t>-L</w:t>
      </w:r>
      <w:r w:rsidR="00684579" w:rsidRPr="00A2680F">
        <w:rPr>
          <w:rFonts w:ascii="Garamond" w:hAnsi="Garamond" w:cs="Times New Roman"/>
        </w:rPr>
        <w:t>a</w:t>
      </w:r>
      <w:r w:rsidRPr="00A2680F">
        <w:rPr>
          <w:rFonts w:ascii="Garamond" w:hAnsi="Garamond" w:cs="Times New Roman"/>
        </w:rPr>
        <w:t xml:space="preserve"> F</w:t>
      </w:r>
      <w:r w:rsidR="00684579" w:rsidRPr="00A2680F">
        <w:rPr>
          <w:rFonts w:ascii="Garamond" w:hAnsi="Garamond" w:cs="Times New Roman"/>
        </w:rPr>
        <w:t>rance</w:t>
      </w:r>
      <w:r w:rsidR="00B410DA" w:rsidRPr="00A2680F">
        <w:rPr>
          <w:rFonts w:ascii="Garamond" w:hAnsi="Garamond" w:cs="Times New Roman"/>
        </w:rPr>
        <w:t>, R</w:t>
      </w:r>
      <w:r w:rsidR="00334495" w:rsidRPr="00A2680F">
        <w:rPr>
          <w:rFonts w:ascii="Garamond" w:hAnsi="Garamond" w:cs="Times New Roman"/>
        </w:rPr>
        <w:t>e</w:t>
      </w:r>
      <w:r w:rsidR="001B051E" w:rsidRPr="00A2680F">
        <w:rPr>
          <w:rFonts w:ascii="Garamond" w:hAnsi="Garamond" w:cs="Times New Roman"/>
        </w:rPr>
        <w:t>n</w:t>
      </w:r>
      <w:r w:rsidR="00334495" w:rsidRPr="00A2680F">
        <w:rPr>
          <w:rFonts w:ascii="Garamond" w:hAnsi="Garamond" w:cs="Times New Roman"/>
        </w:rPr>
        <w:t>é</w:t>
      </w:r>
      <w:r w:rsidR="001B051E" w:rsidRPr="00A2680F">
        <w:rPr>
          <w:rFonts w:ascii="Garamond" w:hAnsi="Garamond" w:cs="Times New Roman"/>
        </w:rPr>
        <w:t>e</w:t>
      </w:r>
      <w:r w:rsidR="00B410DA" w:rsidRPr="00A2680F">
        <w:rPr>
          <w:rFonts w:ascii="Garamond" w:hAnsi="Garamond" w:cs="Times New Roman"/>
        </w:rPr>
        <w:t xml:space="preserve">. “‘Por el amor!’. </w:t>
      </w:r>
      <w:r w:rsidR="00B410DA" w:rsidRPr="00A2680F">
        <w:rPr>
          <w:rFonts w:ascii="Garamond" w:hAnsi="Garamond" w:cs="Times New Roman"/>
          <w:lang w:val="en-US"/>
        </w:rPr>
        <w:t xml:space="preserve">Child Killing in Colonial Nueva Granada”. </w:t>
      </w:r>
      <w:r w:rsidR="00B410DA" w:rsidRPr="00A2680F">
        <w:rPr>
          <w:rFonts w:ascii="Garamond" w:hAnsi="Garamond" w:cs="Times New Roman"/>
          <w:iCs/>
          <w:lang w:val="en-US"/>
        </w:rPr>
        <w:t>Atlantic Crossings: Women’s Voices, Women’s Stories from the Caribbean and the Nigerian Hinterland</w:t>
      </w:r>
      <w:r w:rsidR="00B66240" w:rsidRPr="00A2680F">
        <w:rPr>
          <w:rFonts w:ascii="Garamond" w:hAnsi="Garamond" w:cs="Times New Roman"/>
          <w:lang w:val="en-US"/>
        </w:rPr>
        <w:t>.</w:t>
      </w:r>
      <w:r w:rsidR="00B410DA" w:rsidRPr="00A2680F">
        <w:rPr>
          <w:rFonts w:ascii="Garamond" w:hAnsi="Garamond" w:cs="Times New Roman"/>
          <w:lang w:val="en-US"/>
        </w:rPr>
        <w:t xml:space="preserve"> </w:t>
      </w:r>
      <w:r w:rsidR="00E23FE5" w:rsidRPr="00A2680F">
        <w:rPr>
          <w:rFonts w:ascii="Garamond" w:hAnsi="Garamond" w:cs="Times New Roman"/>
          <w:lang w:val="en-US"/>
        </w:rPr>
        <w:t>Dartmouth College,</w:t>
      </w:r>
      <w:r w:rsidR="00684579" w:rsidRPr="00A2680F">
        <w:rPr>
          <w:rFonts w:ascii="Garamond" w:hAnsi="Garamond" w:cs="Times New Roman"/>
          <w:lang w:val="en-US"/>
        </w:rPr>
        <w:t xml:space="preserve"> (May 18-20, 2001):</w:t>
      </w:r>
      <w:r w:rsidR="00B410DA" w:rsidRPr="00A2680F">
        <w:rPr>
          <w:rFonts w:ascii="Garamond" w:hAnsi="Garamond" w:cs="Times New Roman"/>
          <w:lang w:val="en-US"/>
        </w:rPr>
        <w:t xml:space="preserve"> 1-1</w:t>
      </w:r>
      <w:r w:rsidR="00684579" w:rsidRPr="00A2680F">
        <w:rPr>
          <w:rFonts w:ascii="Garamond" w:hAnsi="Garamond" w:cs="Times New Roman"/>
          <w:lang w:val="en-US"/>
        </w:rPr>
        <w:t>1.</w:t>
      </w:r>
      <w:r w:rsidR="00B410DA" w:rsidRPr="00A2680F">
        <w:rPr>
          <w:rFonts w:ascii="Garamond" w:hAnsi="Garamond" w:cs="Times New Roman"/>
          <w:lang w:val="en-US"/>
        </w:rPr>
        <w:t xml:space="preserve"> </w:t>
      </w:r>
      <w:hyperlink r:id="rId12" w:history="1">
        <w:r w:rsidR="00B410DA" w:rsidRPr="00A2680F">
          <w:rPr>
            <w:rStyle w:val="Hipervnculo"/>
            <w:rFonts w:ascii="Garamond" w:hAnsi="Garamond" w:cs="Times New Roman"/>
            <w:color w:val="auto"/>
            <w:lang w:val="en-US"/>
          </w:rPr>
          <w:t>http://www.yorku.ca/nhp/conferences/dartmouth/Ren%E9e_Soulodre-La%20France.PDF</w:t>
        </w:r>
      </w:hyperlink>
    </w:p>
    <w:p w14:paraId="27C274B3" w14:textId="0ED3649F" w:rsidR="00D65227" w:rsidRPr="00A2680F" w:rsidRDefault="00A7185D" w:rsidP="00A2680F">
      <w:pPr>
        <w:pStyle w:val="Default"/>
        <w:spacing w:after="240" w:line="276" w:lineRule="auto"/>
        <w:ind w:left="709" w:hanging="709"/>
        <w:jc w:val="both"/>
        <w:rPr>
          <w:rFonts w:ascii="Garamond" w:hAnsi="Garamond" w:cs="Times New Roman"/>
          <w:color w:val="auto"/>
          <w:sz w:val="22"/>
          <w:szCs w:val="22"/>
          <w:lang w:val="en-US"/>
        </w:rPr>
      </w:pPr>
      <w:r w:rsidRPr="00A2680F">
        <w:rPr>
          <w:rFonts w:ascii="Garamond" w:hAnsi="Garamond" w:cs="Times New Roman"/>
          <w:color w:val="auto"/>
          <w:sz w:val="22"/>
          <w:szCs w:val="22"/>
        </w:rPr>
        <w:t>S</w:t>
      </w:r>
      <w:r w:rsidR="00684579" w:rsidRPr="00A2680F">
        <w:rPr>
          <w:rFonts w:ascii="Garamond" w:hAnsi="Garamond" w:cs="Times New Roman"/>
          <w:color w:val="auto"/>
          <w:sz w:val="22"/>
          <w:szCs w:val="22"/>
        </w:rPr>
        <w:t>picker</w:t>
      </w:r>
      <w:r w:rsidR="00D65227" w:rsidRPr="00A2680F">
        <w:rPr>
          <w:rFonts w:ascii="Garamond" w:hAnsi="Garamond" w:cs="Times New Roman"/>
          <w:color w:val="auto"/>
          <w:sz w:val="22"/>
          <w:szCs w:val="22"/>
        </w:rPr>
        <w:t>, J</w:t>
      </w:r>
      <w:r w:rsidR="00B66240" w:rsidRPr="00A2680F">
        <w:rPr>
          <w:rFonts w:ascii="Garamond" w:hAnsi="Garamond" w:cs="Times New Roman"/>
          <w:color w:val="auto"/>
          <w:sz w:val="22"/>
          <w:szCs w:val="22"/>
        </w:rPr>
        <w:t>essica</w:t>
      </w:r>
      <w:r w:rsidR="00D65227" w:rsidRPr="00A2680F">
        <w:rPr>
          <w:rFonts w:ascii="Garamond" w:hAnsi="Garamond" w:cs="Times New Roman"/>
          <w:color w:val="auto"/>
          <w:sz w:val="22"/>
          <w:szCs w:val="22"/>
        </w:rPr>
        <w:t xml:space="preserve">. “El cuerpo femenino en cautiverio: aborto e infanticidio entre las esclavas de la Nueva Granada 1750-1810”. </w:t>
      </w:r>
      <w:r w:rsidR="00D65227" w:rsidRPr="00A2680F">
        <w:rPr>
          <w:rFonts w:ascii="Garamond" w:hAnsi="Garamond" w:cs="Times New Roman"/>
          <w:iCs/>
          <w:color w:val="auto"/>
          <w:sz w:val="22"/>
          <w:szCs w:val="22"/>
        </w:rPr>
        <w:t>Geografía Humana de Colombia, Tomo VI-Los Afroc</w:t>
      </w:r>
      <w:r w:rsidR="00A37A9D" w:rsidRPr="00A2680F">
        <w:rPr>
          <w:rFonts w:ascii="Garamond" w:hAnsi="Garamond" w:cs="Times New Roman"/>
          <w:iCs/>
          <w:color w:val="auto"/>
          <w:sz w:val="22"/>
          <w:szCs w:val="22"/>
        </w:rPr>
        <w:t>o</w:t>
      </w:r>
      <w:r w:rsidR="00D65227" w:rsidRPr="00A2680F">
        <w:rPr>
          <w:rFonts w:ascii="Garamond" w:hAnsi="Garamond" w:cs="Times New Roman"/>
          <w:iCs/>
          <w:color w:val="auto"/>
          <w:sz w:val="22"/>
          <w:szCs w:val="22"/>
        </w:rPr>
        <w:t>lombianos</w:t>
      </w:r>
      <w:r w:rsidR="00D65227" w:rsidRPr="00A2680F">
        <w:rPr>
          <w:rFonts w:ascii="Garamond" w:hAnsi="Garamond" w:cs="Times New Roman"/>
          <w:color w:val="auto"/>
          <w:sz w:val="22"/>
          <w:szCs w:val="22"/>
        </w:rPr>
        <w:t>. Bogotá: Instituto Colombiano de Cultura Hispánica</w:t>
      </w:r>
      <w:r w:rsidR="00684579" w:rsidRPr="00A2680F">
        <w:rPr>
          <w:rFonts w:ascii="Garamond" w:hAnsi="Garamond" w:cs="Times New Roman"/>
          <w:color w:val="auto"/>
          <w:sz w:val="22"/>
          <w:szCs w:val="22"/>
        </w:rPr>
        <w:t>, 1998</w:t>
      </w:r>
      <w:r w:rsidR="00D65227" w:rsidRPr="00A2680F">
        <w:rPr>
          <w:rFonts w:ascii="Garamond" w:hAnsi="Garamond" w:cs="Times New Roman"/>
          <w:color w:val="auto"/>
          <w:sz w:val="22"/>
          <w:szCs w:val="22"/>
        </w:rPr>
        <w:t xml:space="preserve">.  </w:t>
      </w:r>
      <w:hyperlink r:id="rId13" w:history="1">
        <w:r w:rsidR="00D65227" w:rsidRPr="00A2680F">
          <w:rPr>
            <w:rStyle w:val="Hipervnculo"/>
            <w:rFonts w:ascii="Garamond" w:hAnsi="Garamond" w:cs="Times New Roman"/>
            <w:color w:val="auto"/>
            <w:sz w:val="22"/>
            <w:szCs w:val="22"/>
            <w:lang w:val="en-US"/>
          </w:rPr>
          <w:t>http://www.banrepcultural.org/blaavirtual/geografia/afro/cuerpo</w:t>
        </w:r>
      </w:hyperlink>
      <w:r w:rsidR="00D65227" w:rsidRPr="00A2680F">
        <w:rPr>
          <w:rFonts w:ascii="Garamond" w:hAnsi="Garamond" w:cs="Times New Roman"/>
          <w:color w:val="auto"/>
          <w:sz w:val="22"/>
          <w:szCs w:val="22"/>
          <w:lang w:val="en-US"/>
        </w:rPr>
        <w:t xml:space="preserve"> </w:t>
      </w:r>
    </w:p>
    <w:p w14:paraId="6A03B8BD" w14:textId="36600940" w:rsidR="00454BD6" w:rsidRPr="00A2680F" w:rsidRDefault="00A7185D" w:rsidP="00A2680F">
      <w:pPr>
        <w:ind w:left="709" w:hanging="709"/>
        <w:jc w:val="both"/>
        <w:rPr>
          <w:rFonts w:ascii="Garamond" w:hAnsi="Garamond" w:cs="Times New Roman"/>
        </w:rPr>
      </w:pPr>
      <w:r w:rsidRPr="00A2680F">
        <w:rPr>
          <w:rFonts w:ascii="Garamond" w:hAnsi="Garamond" w:cs="Times New Roman"/>
          <w:lang w:val="en-US"/>
        </w:rPr>
        <w:t>S</w:t>
      </w:r>
      <w:r w:rsidR="00EA0021" w:rsidRPr="00A2680F">
        <w:rPr>
          <w:rFonts w:ascii="Garamond" w:hAnsi="Garamond" w:cs="Times New Roman"/>
          <w:lang w:val="en-US"/>
        </w:rPr>
        <w:t>toller</w:t>
      </w:r>
      <w:r w:rsidR="00F6232D" w:rsidRPr="00A2680F">
        <w:rPr>
          <w:rFonts w:ascii="Garamond" w:hAnsi="Garamond" w:cs="Times New Roman"/>
          <w:lang w:val="en-US"/>
        </w:rPr>
        <w:t>, R</w:t>
      </w:r>
      <w:r w:rsidRPr="00A2680F">
        <w:rPr>
          <w:rFonts w:ascii="Garamond" w:hAnsi="Garamond" w:cs="Times New Roman"/>
          <w:lang w:val="en-US"/>
        </w:rPr>
        <w:t>ichard</w:t>
      </w:r>
      <w:r w:rsidR="00647043" w:rsidRPr="00A2680F">
        <w:rPr>
          <w:rFonts w:ascii="Garamond" w:hAnsi="Garamond" w:cs="Times New Roman"/>
          <w:lang w:val="en-US"/>
        </w:rPr>
        <w:t xml:space="preserve"> J.</w:t>
      </w:r>
      <w:r w:rsidR="00454BD6" w:rsidRPr="00A2680F">
        <w:rPr>
          <w:rFonts w:ascii="Garamond" w:hAnsi="Garamond" w:cs="Times New Roman"/>
          <w:lang w:val="en-US"/>
        </w:rPr>
        <w:t xml:space="preserve"> </w:t>
      </w:r>
      <w:r w:rsidR="00454BD6" w:rsidRPr="00A2680F">
        <w:rPr>
          <w:rFonts w:ascii="Garamond" w:hAnsi="Garamond" w:cs="Times New Roman"/>
          <w:iCs/>
          <w:lang w:val="en-US"/>
        </w:rPr>
        <w:t>Liberalism and conflict in Socorro, Colombia, 1830-1870</w:t>
      </w:r>
      <w:r w:rsidR="00F6232D" w:rsidRPr="00A2680F">
        <w:rPr>
          <w:rFonts w:ascii="Garamond" w:hAnsi="Garamond" w:cs="Times New Roman"/>
          <w:lang w:val="en-US"/>
        </w:rPr>
        <w:t>.</w:t>
      </w:r>
      <w:r w:rsidR="00561684" w:rsidRPr="00A2680F">
        <w:rPr>
          <w:rFonts w:ascii="Garamond" w:hAnsi="Garamond" w:cs="Times New Roman"/>
          <w:lang w:val="en-US"/>
        </w:rPr>
        <w:t xml:space="preserve"> </w:t>
      </w:r>
      <w:r w:rsidR="00561684" w:rsidRPr="00A2680F">
        <w:rPr>
          <w:rFonts w:ascii="Garamond" w:hAnsi="Garamond" w:cs="Times New Roman"/>
        </w:rPr>
        <w:t>(Tesis d</w:t>
      </w:r>
      <w:r w:rsidR="00684579" w:rsidRPr="00A2680F">
        <w:rPr>
          <w:rFonts w:ascii="Garamond" w:hAnsi="Garamond" w:cs="Times New Roman"/>
        </w:rPr>
        <w:t>e doctorado, Universidad de Duke, 1991</w:t>
      </w:r>
      <w:r w:rsidR="00F33D9C" w:rsidRPr="00A2680F">
        <w:rPr>
          <w:rFonts w:ascii="Garamond" w:hAnsi="Garamond" w:cs="Times New Roman"/>
        </w:rPr>
        <w:t>)</w:t>
      </w:r>
      <w:r w:rsidR="00454BD6" w:rsidRPr="00A2680F">
        <w:rPr>
          <w:rFonts w:ascii="Garamond" w:hAnsi="Garamond" w:cs="Times New Roman"/>
        </w:rPr>
        <w:t>.</w:t>
      </w:r>
    </w:p>
    <w:p w14:paraId="2BD30FF7" w14:textId="7EA96C69" w:rsidR="00764E36" w:rsidRPr="00A2680F" w:rsidRDefault="00A7185D" w:rsidP="00A2680F">
      <w:pPr>
        <w:ind w:left="709" w:hanging="709"/>
        <w:jc w:val="both"/>
        <w:rPr>
          <w:rFonts w:ascii="Garamond" w:hAnsi="Garamond" w:cs="Times New Roman"/>
        </w:rPr>
      </w:pPr>
      <w:r w:rsidRPr="00A2680F">
        <w:rPr>
          <w:rFonts w:ascii="Garamond" w:hAnsi="Garamond" w:cs="Times New Roman"/>
        </w:rPr>
        <w:lastRenderedPageBreak/>
        <w:t>T</w:t>
      </w:r>
      <w:r w:rsidR="00541ACD" w:rsidRPr="00A2680F">
        <w:rPr>
          <w:rFonts w:ascii="Garamond" w:hAnsi="Garamond" w:cs="Times New Roman"/>
        </w:rPr>
        <w:t>ovar Pinzón</w:t>
      </w:r>
      <w:r w:rsidR="00F6232D" w:rsidRPr="00A2680F">
        <w:rPr>
          <w:rFonts w:ascii="Garamond" w:hAnsi="Garamond" w:cs="Times New Roman"/>
        </w:rPr>
        <w:t>, H</w:t>
      </w:r>
      <w:r w:rsidRPr="00A2680F">
        <w:rPr>
          <w:rFonts w:ascii="Garamond" w:hAnsi="Garamond" w:cs="Times New Roman"/>
        </w:rPr>
        <w:t>ermes</w:t>
      </w:r>
      <w:r w:rsidR="00F6232D" w:rsidRPr="00A2680F">
        <w:rPr>
          <w:rFonts w:ascii="Garamond" w:hAnsi="Garamond" w:cs="Times New Roman"/>
        </w:rPr>
        <w:t>.</w:t>
      </w:r>
      <w:r w:rsidR="00454BD6" w:rsidRPr="00A2680F">
        <w:rPr>
          <w:rFonts w:ascii="Garamond" w:hAnsi="Garamond" w:cs="Times New Roman"/>
        </w:rPr>
        <w:t xml:space="preserve"> </w:t>
      </w:r>
      <w:r w:rsidR="00454BD6" w:rsidRPr="00A2680F">
        <w:rPr>
          <w:rFonts w:ascii="Garamond" w:hAnsi="Garamond" w:cs="Times New Roman"/>
          <w:iCs/>
        </w:rPr>
        <w:t>Convocatoria al poder del número. Censos y Estadísticas en la Nueva Granada (1750-1830)</w:t>
      </w:r>
      <w:r w:rsidR="00F6232D" w:rsidRPr="00A2680F">
        <w:rPr>
          <w:rFonts w:ascii="Garamond" w:hAnsi="Garamond" w:cs="Times New Roman"/>
          <w:iCs/>
        </w:rPr>
        <w:t>.</w:t>
      </w:r>
      <w:r w:rsidR="00F6232D" w:rsidRPr="00A2680F">
        <w:rPr>
          <w:rFonts w:ascii="Garamond" w:hAnsi="Garamond" w:cs="Times New Roman"/>
        </w:rPr>
        <w:t xml:space="preserve"> </w:t>
      </w:r>
      <w:r w:rsidR="004D3942" w:rsidRPr="00A2680F">
        <w:rPr>
          <w:rFonts w:ascii="Garamond" w:hAnsi="Garamond" w:cs="Times New Roman"/>
        </w:rPr>
        <w:t>S</w:t>
      </w:r>
      <w:r w:rsidR="00F6232D" w:rsidRPr="00A2680F">
        <w:rPr>
          <w:rFonts w:ascii="Garamond" w:hAnsi="Garamond" w:cs="Times New Roman"/>
        </w:rPr>
        <w:t>antafé de Bogotá:</w:t>
      </w:r>
      <w:r w:rsidR="00454BD6" w:rsidRPr="00A2680F">
        <w:rPr>
          <w:rFonts w:ascii="Garamond" w:hAnsi="Garamond" w:cs="Times New Roman"/>
        </w:rPr>
        <w:t xml:space="preserve"> Ar</w:t>
      </w:r>
      <w:r w:rsidR="00F6232D" w:rsidRPr="00A2680F">
        <w:rPr>
          <w:rFonts w:ascii="Garamond" w:hAnsi="Garamond" w:cs="Times New Roman"/>
        </w:rPr>
        <w:t>chivo General de la Nación</w:t>
      </w:r>
      <w:r w:rsidR="00541ACD" w:rsidRPr="00A2680F">
        <w:rPr>
          <w:rFonts w:ascii="Garamond" w:hAnsi="Garamond" w:cs="Times New Roman"/>
        </w:rPr>
        <w:t>, 1994</w:t>
      </w:r>
      <w:r w:rsidR="005B4B1B" w:rsidRPr="00A2680F">
        <w:rPr>
          <w:rFonts w:ascii="Garamond" w:hAnsi="Garamond" w:cs="Times New Roman"/>
        </w:rPr>
        <w:t>.</w:t>
      </w:r>
    </w:p>
    <w:p w14:paraId="5B184062" w14:textId="39D4C1AB" w:rsidR="00493C11" w:rsidRPr="00A2680F" w:rsidRDefault="00A7185D" w:rsidP="00A2680F">
      <w:pPr>
        <w:ind w:left="709" w:hanging="709"/>
        <w:jc w:val="both"/>
        <w:rPr>
          <w:rFonts w:ascii="Garamond" w:hAnsi="Garamond" w:cs="Times New Roman"/>
        </w:rPr>
      </w:pPr>
      <w:r w:rsidRPr="00A2680F">
        <w:rPr>
          <w:rFonts w:ascii="Garamond" w:hAnsi="Garamond" w:cs="Times New Roman"/>
        </w:rPr>
        <w:t>U</w:t>
      </w:r>
      <w:r w:rsidR="00541ACD" w:rsidRPr="00A2680F">
        <w:rPr>
          <w:rFonts w:ascii="Garamond" w:hAnsi="Garamond" w:cs="Times New Roman"/>
        </w:rPr>
        <w:t>ndurraga</w:t>
      </w:r>
      <w:r w:rsidRPr="00A2680F">
        <w:rPr>
          <w:rFonts w:ascii="Garamond" w:hAnsi="Garamond" w:cs="Times New Roman"/>
        </w:rPr>
        <w:t xml:space="preserve"> S</w:t>
      </w:r>
      <w:r w:rsidR="00541ACD" w:rsidRPr="00A2680F">
        <w:rPr>
          <w:rFonts w:ascii="Garamond" w:hAnsi="Garamond" w:cs="Times New Roman"/>
        </w:rPr>
        <w:t>chüler</w:t>
      </w:r>
      <w:r w:rsidR="00C21EE0" w:rsidRPr="00A2680F">
        <w:rPr>
          <w:rFonts w:ascii="Garamond" w:hAnsi="Garamond" w:cs="Times New Roman"/>
        </w:rPr>
        <w:t>,</w:t>
      </w:r>
      <w:r w:rsidR="008D4E3E" w:rsidRPr="00A2680F">
        <w:rPr>
          <w:rFonts w:ascii="Garamond" w:hAnsi="Garamond" w:cs="Times New Roman"/>
        </w:rPr>
        <w:t xml:space="preserve"> V</w:t>
      </w:r>
      <w:r w:rsidRPr="00A2680F">
        <w:rPr>
          <w:rFonts w:ascii="Garamond" w:hAnsi="Garamond" w:cs="Times New Roman"/>
        </w:rPr>
        <w:t>erónica</w:t>
      </w:r>
      <w:r w:rsidR="008D4E3E" w:rsidRPr="00A2680F">
        <w:rPr>
          <w:rFonts w:ascii="Garamond" w:hAnsi="Garamond" w:cs="Times New Roman"/>
        </w:rPr>
        <w:t xml:space="preserve">. </w:t>
      </w:r>
      <w:r w:rsidR="008D4E3E" w:rsidRPr="00A2680F">
        <w:rPr>
          <w:rFonts w:ascii="Garamond" w:hAnsi="Garamond" w:cs="Times New Roman"/>
          <w:iCs/>
        </w:rPr>
        <w:t>Los rostros del honor. Normas culturales y estrategias de promoción social en Chile colonial, siglo XVIII</w:t>
      </w:r>
      <w:r w:rsidR="008D4E3E" w:rsidRPr="00A2680F">
        <w:rPr>
          <w:rFonts w:ascii="Garamond" w:hAnsi="Garamond" w:cs="Times New Roman"/>
        </w:rPr>
        <w:t>. Santiago:</w:t>
      </w:r>
      <w:r w:rsidRPr="00A2680F">
        <w:rPr>
          <w:rFonts w:ascii="Garamond" w:hAnsi="Garamond" w:cs="Times New Roman"/>
        </w:rPr>
        <w:t xml:space="preserve"> Dirección de Biblioteca, Archivos y Museos</w:t>
      </w:r>
      <w:r w:rsidR="00541ACD" w:rsidRPr="00A2680F">
        <w:rPr>
          <w:rFonts w:ascii="Garamond" w:hAnsi="Garamond" w:cs="Times New Roman"/>
        </w:rPr>
        <w:t>, 2012</w:t>
      </w:r>
      <w:r w:rsidRPr="00A2680F">
        <w:rPr>
          <w:rFonts w:ascii="Garamond" w:hAnsi="Garamond" w:cs="Times New Roman"/>
        </w:rPr>
        <w:t xml:space="preserve">. </w:t>
      </w:r>
      <w:r w:rsidR="00C21EE0" w:rsidRPr="00A2680F">
        <w:rPr>
          <w:rFonts w:ascii="Garamond" w:hAnsi="Garamond" w:cs="Times New Roman"/>
        </w:rPr>
        <w:t xml:space="preserve"> </w:t>
      </w:r>
    </w:p>
    <w:p w14:paraId="4C6ADEA5" w14:textId="77777777" w:rsidR="00493C11" w:rsidRPr="00A2680F" w:rsidRDefault="00493C11" w:rsidP="00A2680F">
      <w:pPr>
        <w:jc w:val="both"/>
        <w:rPr>
          <w:rFonts w:ascii="Garamond" w:hAnsi="Garamond" w:cs="Times New Roman"/>
          <w:lang w:val="pt-PT"/>
        </w:rPr>
      </w:pPr>
    </w:p>
    <w:p w14:paraId="52EEB809" w14:textId="5D188AAC" w:rsidR="002D5818" w:rsidRPr="00A2680F" w:rsidRDefault="002D5818" w:rsidP="00A2680F">
      <w:pPr>
        <w:jc w:val="both"/>
        <w:rPr>
          <w:rFonts w:ascii="Garamond" w:hAnsi="Garamond" w:cs="Times New Roman"/>
          <w:lang w:val="pt-PT"/>
        </w:rPr>
      </w:pPr>
    </w:p>
    <w:p w14:paraId="118CCA7E" w14:textId="77777777" w:rsidR="008C275E" w:rsidRPr="00A2680F" w:rsidRDefault="008C275E" w:rsidP="00A2680F">
      <w:pPr>
        <w:jc w:val="both"/>
        <w:rPr>
          <w:rFonts w:ascii="Garamond" w:hAnsi="Garamond" w:cs="Times New Roman"/>
          <w:lang w:val="pt-PT"/>
        </w:rPr>
      </w:pPr>
    </w:p>
    <w:sectPr w:rsidR="008C275E" w:rsidRPr="00A2680F" w:rsidSect="00170178">
      <w:headerReference w:type="default" r:id="rId14"/>
      <w:footerReference w:type="default" r:id="rId15"/>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A2E1" w14:textId="77777777" w:rsidR="003558DD" w:rsidRDefault="003558DD" w:rsidP="00454BD6">
      <w:pPr>
        <w:spacing w:after="0" w:line="240" w:lineRule="auto"/>
      </w:pPr>
      <w:r>
        <w:separator/>
      </w:r>
    </w:p>
  </w:endnote>
  <w:endnote w:type="continuationSeparator" w:id="0">
    <w:p w14:paraId="26B8506A" w14:textId="77777777" w:rsidR="003558DD" w:rsidRDefault="003558DD" w:rsidP="0045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EB36" w14:textId="77777777" w:rsidR="00E95BDE" w:rsidRDefault="003558DD">
    <w:pPr>
      <w:pStyle w:val="Piedepgina"/>
      <w:jc w:val="right"/>
    </w:pPr>
  </w:p>
  <w:p w14:paraId="5CA56A74" w14:textId="77777777" w:rsidR="005664ED" w:rsidRDefault="003558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F719" w14:textId="77777777" w:rsidR="003558DD" w:rsidRDefault="003558DD" w:rsidP="00454BD6">
      <w:pPr>
        <w:spacing w:after="0" w:line="240" w:lineRule="auto"/>
      </w:pPr>
      <w:r>
        <w:separator/>
      </w:r>
    </w:p>
  </w:footnote>
  <w:footnote w:type="continuationSeparator" w:id="0">
    <w:p w14:paraId="221D29DD" w14:textId="77777777" w:rsidR="003558DD" w:rsidRDefault="003558DD" w:rsidP="00454BD6">
      <w:pPr>
        <w:spacing w:after="0" w:line="240" w:lineRule="auto"/>
      </w:pPr>
      <w:r>
        <w:continuationSeparator/>
      </w:r>
    </w:p>
  </w:footnote>
  <w:footnote w:id="1">
    <w:p w14:paraId="1122EC40"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Archivo General de la Nación - Bogotá (en adelante AGN), Sección colonia, </w:t>
      </w:r>
      <w:r w:rsidRPr="00A2680F">
        <w:rPr>
          <w:rFonts w:ascii="Garamond" w:hAnsi="Garamond"/>
          <w:i/>
        </w:rPr>
        <w:t>Fondo negros y esclavos de Santander</w:t>
      </w:r>
      <w:r w:rsidRPr="00A2680F">
        <w:rPr>
          <w:rFonts w:ascii="Garamond" w:hAnsi="Garamond"/>
        </w:rPr>
        <w:t>, t. 4, año 1805, ff.  350r-v.</w:t>
      </w:r>
    </w:p>
  </w:footnote>
  <w:footnote w:id="2">
    <w:p w14:paraId="03CDFE43" w14:textId="00B125A8"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Durante los tres siglos de dominación española en América, las ciudades y villas fueron los conglomerados urbanos que tuvieron cabildos que administraban justicia a la población que vivía en su territorio jurisdiccional. Los alcaldes ordinarios, que por lo general eran dos vecinos principales, actuaban como jueces de primera instancia, es decir, a ellos acudían los habitantes para entablar demandas civiles y criminales. Ampliar sobre el tema en </w:t>
      </w:r>
      <w:r w:rsidR="00334495" w:rsidRPr="00A2680F">
        <w:rPr>
          <w:rFonts w:ascii="Garamond" w:hAnsi="Garamond" w:cs="Times New Roman"/>
          <w:sz w:val="20"/>
          <w:szCs w:val="20"/>
        </w:rPr>
        <w:t xml:space="preserve">C. H. </w:t>
      </w:r>
      <w:r w:rsidR="007F679D" w:rsidRPr="00A2680F">
        <w:rPr>
          <w:rFonts w:ascii="Garamond" w:hAnsi="Garamond" w:cs="Times New Roman"/>
          <w:sz w:val="20"/>
          <w:szCs w:val="20"/>
          <w:lang w:val="pt-PT"/>
        </w:rPr>
        <w:t xml:space="preserve">Haring. </w:t>
      </w:r>
      <w:r w:rsidR="007F679D" w:rsidRPr="00A2680F">
        <w:rPr>
          <w:rFonts w:ascii="Garamond" w:hAnsi="Garamond" w:cs="Times New Roman"/>
          <w:iCs/>
          <w:sz w:val="20"/>
          <w:szCs w:val="20"/>
        </w:rPr>
        <w:t>El Imperio Español en América</w:t>
      </w:r>
      <w:r w:rsidR="007F679D" w:rsidRPr="00A2680F">
        <w:rPr>
          <w:rFonts w:ascii="Garamond" w:hAnsi="Garamond" w:cs="Times New Roman"/>
          <w:sz w:val="20"/>
          <w:szCs w:val="20"/>
        </w:rPr>
        <w:t xml:space="preserve"> (México: Alianza Editorial Mexicana, 1990)</w:t>
      </w:r>
      <w:r w:rsidRPr="00A2680F">
        <w:rPr>
          <w:rFonts w:ascii="Garamond" w:hAnsi="Garamond" w:cs="Times New Roman"/>
          <w:sz w:val="20"/>
          <w:szCs w:val="20"/>
        </w:rPr>
        <w:t>.</w:t>
      </w:r>
    </w:p>
  </w:footnote>
  <w:footnote w:id="3">
    <w:p w14:paraId="1CB9010E" w14:textId="18EAF7EB" w:rsidR="00781CD0" w:rsidRPr="00A2680F" w:rsidRDefault="00781CD0"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334495" w:rsidRPr="00A2680F">
        <w:rPr>
          <w:rFonts w:ascii="Garamond" w:hAnsi="Garamond"/>
        </w:rPr>
        <w:t xml:space="preserve">Virginia </w:t>
      </w:r>
      <w:r w:rsidR="007F679D" w:rsidRPr="00A2680F">
        <w:rPr>
          <w:rFonts w:ascii="Garamond" w:hAnsi="Garamond"/>
        </w:rPr>
        <w:t xml:space="preserve">Gutiérrez de Pineda y Roberto Pineda Giraldo. </w:t>
      </w:r>
      <w:r w:rsidR="007F679D" w:rsidRPr="00A2680F">
        <w:rPr>
          <w:rFonts w:ascii="Garamond" w:hAnsi="Garamond"/>
          <w:iCs/>
        </w:rPr>
        <w:t>Miscegenación y cultura en la Colombia colonial, 1750-1810</w:t>
      </w:r>
      <w:r w:rsidR="007F679D" w:rsidRPr="00A2680F">
        <w:rPr>
          <w:rFonts w:ascii="Garamond" w:hAnsi="Garamond"/>
        </w:rPr>
        <w:t>, tomo 2 (Santafé de Bogotá: Uniandes – Colciencias, 1999)</w:t>
      </w:r>
      <w:r w:rsidRPr="00A2680F">
        <w:rPr>
          <w:rFonts w:ascii="Garamond" w:hAnsi="Garamond"/>
        </w:rPr>
        <w:t xml:space="preserve">. </w:t>
      </w:r>
    </w:p>
  </w:footnote>
  <w:footnote w:id="4">
    <w:p w14:paraId="40A55207" w14:textId="0F77F118" w:rsidR="00781CD0" w:rsidRPr="00A2680F" w:rsidRDefault="00781CD0" w:rsidP="00A2680F">
      <w:pPr>
        <w:spacing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w:t>
      </w:r>
      <w:r w:rsidR="00334495" w:rsidRPr="00A2680F">
        <w:rPr>
          <w:rFonts w:ascii="Garamond" w:hAnsi="Garamond" w:cs="Times New Roman"/>
          <w:sz w:val="20"/>
          <w:szCs w:val="20"/>
        </w:rPr>
        <w:t xml:space="preserve">Jessica </w:t>
      </w:r>
      <w:r w:rsidR="00A37A9D" w:rsidRPr="00A2680F">
        <w:rPr>
          <w:rFonts w:ascii="Garamond" w:hAnsi="Garamond" w:cs="Times New Roman"/>
          <w:sz w:val="20"/>
          <w:szCs w:val="20"/>
        </w:rPr>
        <w:t xml:space="preserve">Spicker. “El cuerpo femenino en cautiverio: aborto e infanticidio entre las esclavas de la Nueva Granada 1750-1810”. </w:t>
      </w:r>
      <w:r w:rsidR="00A37A9D" w:rsidRPr="00A2680F">
        <w:rPr>
          <w:rFonts w:ascii="Garamond" w:hAnsi="Garamond" w:cs="Times New Roman"/>
          <w:iCs/>
          <w:sz w:val="20"/>
          <w:szCs w:val="20"/>
        </w:rPr>
        <w:t>Geografía Humana de Colombia, Tomo VI-Los Afrocolombianos</w:t>
      </w:r>
      <w:r w:rsidR="00A37A9D" w:rsidRPr="00A2680F">
        <w:rPr>
          <w:rFonts w:ascii="Garamond" w:hAnsi="Garamond" w:cs="Times New Roman"/>
          <w:sz w:val="20"/>
          <w:szCs w:val="20"/>
        </w:rPr>
        <w:t xml:space="preserve"> </w:t>
      </w:r>
      <w:r w:rsidR="006748F8" w:rsidRPr="00A2680F">
        <w:rPr>
          <w:rFonts w:ascii="Garamond" w:hAnsi="Garamond" w:cs="Times New Roman"/>
          <w:sz w:val="20"/>
          <w:szCs w:val="20"/>
        </w:rPr>
        <w:t>(</w:t>
      </w:r>
      <w:r w:rsidR="00A37A9D" w:rsidRPr="00A2680F">
        <w:rPr>
          <w:rFonts w:ascii="Garamond" w:hAnsi="Garamond" w:cs="Times New Roman"/>
          <w:sz w:val="20"/>
          <w:szCs w:val="20"/>
        </w:rPr>
        <w:t>Bogotá: Instituto Colombiano de Cultura Hispánica, 1998</w:t>
      </w:r>
      <w:r w:rsidR="006748F8" w:rsidRPr="00A2680F">
        <w:rPr>
          <w:rFonts w:ascii="Garamond" w:hAnsi="Garamond" w:cs="Times New Roman"/>
          <w:sz w:val="20"/>
          <w:szCs w:val="20"/>
        </w:rPr>
        <w:t>)</w:t>
      </w:r>
      <w:r w:rsidRPr="00A2680F">
        <w:rPr>
          <w:rFonts w:ascii="Garamond" w:hAnsi="Garamond" w:cs="Times New Roman"/>
          <w:sz w:val="20"/>
          <w:szCs w:val="20"/>
        </w:rPr>
        <w:t>;</w:t>
      </w:r>
      <w:r w:rsidR="00CF47A7" w:rsidRPr="00A2680F">
        <w:rPr>
          <w:rFonts w:ascii="Garamond" w:hAnsi="Garamond" w:cs="Times New Roman"/>
          <w:sz w:val="20"/>
          <w:szCs w:val="20"/>
        </w:rPr>
        <w:t xml:space="preserve"> Renée</w:t>
      </w:r>
      <w:r w:rsidRPr="00A2680F">
        <w:rPr>
          <w:rFonts w:ascii="Garamond" w:hAnsi="Garamond" w:cs="Times New Roman"/>
          <w:sz w:val="20"/>
          <w:szCs w:val="20"/>
        </w:rPr>
        <w:t xml:space="preserve"> </w:t>
      </w:r>
      <w:r w:rsidR="00CF47A7" w:rsidRPr="00A2680F">
        <w:rPr>
          <w:rFonts w:ascii="Garamond" w:hAnsi="Garamond" w:cs="Times New Roman"/>
          <w:sz w:val="20"/>
          <w:szCs w:val="20"/>
        </w:rPr>
        <w:t xml:space="preserve">Soulodre-La France. “‘Por el amor!’. Child Killing in Colonial Nueva Granada”. </w:t>
      </w:r>
      <w:r w:rsidR="00CF47A7" w:rsidRPr="00A2680F">
        <w:rPr>
          <w:rFonts w:ascii="Garamond" w:hAnsi="Garamond" w:cs="Times New Roman"/>
          <w:iCs/>
          <w:sz w:val="20"/>
          <w:szCs w:val="20"/>
          <w:lang w:val="en-US"/>
        </w:rPr>
        <w:t>Atlantic Crossings: Women’s Voices, Women’s Stories from the Caribbean and the Nigerian Hinterland</w:t>
      </w:r>
      <w:r w:rsidR="00CF47A7" w:rsidRPr="00A2680F">
        <w:rPr>
          <w:rFonts w:ascii="Garamond" w:hAnsi="Garamond" w:cs="Times New Roman"/>
          <w:sz w:val="20"/>
          <w:szCs w:val="20"/>
          <w:lang w:val="en-US"/>
        </w:rPr>
        <w:t xml:space="preserve">. Dartmouth College, (May 18-20, 2001): 1-11. </w:t>
      </w:r>
      <w:hyperlink r:id="rId1" w:history="1">
        <w:r w:rsidR="00CF47A7" w:rsidRPr="00A2680F">
          <w:rPr>
            <w:rStyle w:val="Hipervnculo"/>
            <w:rFonts w:ascii="Garamond" w:hAnsi="Garamond" w:cs="Times New Roman"/>
            <w:color w:val="auto"/>
            <w:sz w:val="20"/>
            <w:szCs w:val="20"/>
            <w:lang w:val="en-US"/>
          </w:rPr>
          <w:t>http://www.yorku.ca/nhp/conferences/dartmouth/Ren%E9e_Soulodre-La%20France.PDF</w:t>
        </w:r>
      </w:hyperlink>
      <w:r w:rsidRPr="00A2680F">
        <w:rPr>
          <w:rFonts w:ascii="Garamond" w:hAnsi="Garamond" w:cs="Times New Roman"/>
          <w:sz w:val="20"/>
          <w:szCs w:val="20"/>
          <w:lang w:val="en-US"/>
        </w:rPr>
        <w:t xml:space="preserve">; </w:t>
      </w:r>
      <w:r w:rsidR="00483CCB" w:rsidRPr="00A2680F">
        <w:rPr>
          <w:rFonts w:ascii="Garamond" w:hAnsi="Garamond" w:cs="Times New Roman"/>
          <w:sz w:val="20"/>
          <w:szCs w:val="20"/>
          <w:lang w:val="en-US"/>
        </w:rPr>
        <w:t xml:space="preserve">Martha Herrera Ángel. </w:t>
      </w:r>
      <w:r w:rsidR="00483CCB" w:rsidRPr="00A2680F">
        <w:rPr>
          <w:rFonts w:ascii="Garamond" w:hAnsi="Garamond" w:cs="Times New Roman"/>
          <w:sz w:val="20"/>
          <w:szCs w:val="20"/>
        </w:rPr>
        <w:t xml:space="preserve">“En un rincón de ese imperio en que no se ocultaba el sol: colonialismo, oro y terror en Barbacoas. Siglo XVIII”. </w:t>
      </w:r>
      <w:r w:rsidR="00483CCB" w:rsidRPr="00A2680F">
        <w:rPr>
          <w:rFonts w:ascii="Garamond" w:hAnsi="Garamond" w:cs="Times New Roman"/>
          <w:iCs/>
          <w:sz w:val="20"/>
          <w:szCs w:val="20"/>
        </w:rPr>
        <w:t>Anuario Colombiano de Historia Social y de la Cultura</w:t>
      </w:r>
      <w:r w:rsidR="00483CCB" w:rsidRPr="00A2680F">
        <w:rPr>
          <w:rFonts w:ascii="Garamond" w:hAnsi="Garamond" w:cs="Times New Roman"/>
          <w:sz w:val="20"/>
          <w:szCs w:val="20"/>
        </w:rPr>
        <w:t>, No. 32 (2005): 31-49</w:t>
      </w:r>
      <w:r w:rsidRPr="00A2680F">
        <w:rPr>
          <w:rFonts w:ascii="Garamond" w:hAnsi="Garamond" w:cs="Times New Roman"/>
          <w:sz w:val="20"/>
          <w:szCs w:val="20"/>
        </w:rPr>
        <w:t xml:space="preserve">; </w:t>
      </w:r>
      <w:r w:rsidR="00F97E9C" w:rsidRPr="00A2680F">
        <w:rPr>
          <w:rFonts w:ascii="Garamond" w:hAnsi="Garamond" w:cs="Times New Roman"/>
          <w:sz w:val="20"/>
          <w:szCs w:val="20"/>
        </w:rPr>
        <w:t xml:space="preserve">Marcela </w:t>
      </w:r>
      <w:r w:rsidR="00F97E9C" w:rsidRPr="00A2680F">
        <w:rPr>
          <w:rFonts w:ascii="Garamond" w:hAnsi="Garamond" w:cs="Times New Roman"/>
          <w:sz w:val="20"/>
          <w:szCs w:val="20"/>
          <w:lang w:val="es-ES"/>
        </w:rPr>
        <w:t xml:space="preserve">Echeverri. “Conflicto y hegemonía en el suroccidente de la Nueva Granada, 1780-1800”. Fronteras de la Historia No. 11 (2006): 355-387. </w:t>
      </w:r>
      <w:hyperlink r:id="rId2" w:history="1">
        <w:r w:rsidR="00F97E9C" w:rsidRPr="00A2680F">
          <w:rPr>
            <w:rStyle w:val="Hipervnculo"/>
            <w:rFonts w:ascii="Garamond" w:hAnsi="Garamond" w:cs="Times New Roman"/>
            <w:sz w:val="20"/>
            <w:szCs w:val="20"/>
            <w:lang w:val="es-ES"/>
          </w:rPr>
          <w:t>https://dialnet.unirioja.es/servlet/articulo?codigo=7138090</w:t>
        </w:r>
      </w:hyperlink>
      <w:r w:rsidRPr="00A2680F">
        <w:rPr>
          <w:rFonts w:ascii="Garamond" w:hAnsi="Garamond" w:cs="Times New Roman"/>
          <w:sz w:val="20"/>
          <w:szCs w:val="20"/>
        </w:rPr>
        <w:t xml:space="preserve">; </w:t>
      </w:r>
      <w:r w:rsidR="00505907" w:rsidRPr="00A2680F">
        <w:rPr>
          <w:rFonts w:ascii="Garamond" w:hAnsi="Garamond" w:cs="Times New Roman"/>
          <w:sz w:val="20"/>
          <w:szCs w:val="20"/>
          <w:lang w:val="es-ES"/>
        </w:rPr>
        <w:t>Laura Alejandra Gómez. Tentativas del “enemigo malo”. Relaciones ilícitas e infanticidios en la Provincia de Antioquia (Nueva Granada) 1765-1803. (Tesis de grado, Universidad Colegio Mayor de Nuestra Señora del Rosario, 2015)</w:t>
      </w:r>
      <w:r w:rsidRPr="00A2680F">
        <w:rPr>
          <w:rFonts w:ascii="Garamond" w:hAnsi="Garamond" w:cs="Times New Roman"/>
          <w:sz w:val="20"/>
          <w:szCs w:val="20"/>
        </w:rPr>
        <w:t xml:space="preserve">. </w:t>
      </w:r>
    </w:p>
  </w:footnote>
  <w:footnote w:id="5">
    <w:p w14:paraId="10A00DDC" w14:textId="1F75BE56"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Las Reales Audiencias eran los tribunales superiores en América Hispánica que </w:t>
      </w:r>
      <w:r w:rsidR="00DE7784" w:rsidRPr="00A2680F">
        <w:rPr>
          <w:rFonts w:ascii="Garamond" w:hAnsi="Garamond" w:cs="Times New Roman"/>
          <w:sz w:val="20"/>
          <w:szCs w:val="20"/>
        </w:rPr>
        <w:t xml:space="preserve">actuaban en grado de apelación </w:t>
      </w:r>
      <w:r w:rsidRPr="00A2680F">
        <w:rPr>
          <w:rFonts w:ascii="Garamond" w:hAnsi="Garamond" w:cs="Times New Roman"/>
          <w:sz w:val="20"/>
          <w:szCs w:val="20"/>
        </w:rPr>
        <w:t xml:space="preserve">de los casos penales y la mayoría de los civiles de las jurisdicciones inferiores –alcaldes ordinarios, asesores de las intendencias, corregidores y gobernadores. A su vez, eran cortes que proveían de consejo al poder ejecutivo del distrito, implementaban la legislación y poseían autoridad durante la ausencia del poder ejecutivo. Las audiencias estaban integradas por oidores, que eran los jueces civiles y penales, y al mismo tiempo, se desempeñaban individualmente como jueces de provincia, de bienes de difuntos, comisionados de los virreyes en casos especiales, entre otras funciones. Ver </w:t>
      </w:r>
      <w:r w:rsidR="00D33E07" w:rsidRPr="00A2680F">
        <w:rPr>
          <w:rFonts w:ascii="Garamond" w:hAnsi="Garamond" w:cs="Times New Roman"/>
          <w:sz w:val="20"/>
          <w:szCs w:val="20"/>
        </w:rPr>
        <w:t xml:space="preserve">Viviana Kluger. “¿Todo tiempo pasado fue mejor? La condición jurídica del esclavo a través de la mirada de los fiscales de la Audiencia de Buenos Aires (1785-1812)”. </w:t>
      </w:r>
      <w:r w:rsidR="00D33E07" w:rsidRPr="00A2680F">
        <w:rPr>
          <w:rFonts w:ascii="Garamond" w:hAnsi="Garamond" w:cs="Times New Roman"/>
          <w:iCs/>
          <w:sz w:val="20"/>
          <w:szCs w:val="20"/>
        </w:rPr>
        <w:t>Revista Jurídica Universidad Interamericana de Puerto Rico</w:t>
      </w:r>
      <w:r w:rsidR="00D33E07" w:rsidRPr="00A2680F">
        <w:rPr>
          <w:rFonts w:ascii="Garamond" w:hAnsi="Garamond" w:cs="Times New Roman"/>
          <w:sz w:val="20"/>
          <w:szCs w:val="20"/>
        </w:rPr>
        <w:t xml:space="preserve"> (septiembre-diciembre 2003): 7-8. </w:t>
      </w:r>
      <w:hyperlink r:id="rId3" w:history="1">
        <w:r w:rsidR="00D33E07" w:rsidRPr="00A2680F">
          <w:rPr>
            <w:rStyle w:val="Hipervnculo"/>
            <w:rFonts w:ascii="Garamond" w:hAnsi="Garamond" w:cs="Times New Roman"/>
            <w:color w:val="auto"/>
            <w:sz w:val="20"/>
            <w:szCs w:val="20"/>
          </w:rPr>
          <w:t>http://www.vivianakluger.com.ar/articulos/Todo%20tiempo%20pasado%20fue%20mejor.pdf</w:t>
        </w:r>
      </w:hyperlink>
      <w:r w:rsidR="00D33E07" w:rsidRPr="00A2680F">
        <w:rPr>
          <w:rStyle w:val="Hipervnculo"/>
          <w:rFonts w:ascii="Garamond" w:hAnsi="Garamond" w:cs="Times New Roman"/>
          <w:color w:val="auto"/>
          <w:sz w:val="20"/>
          <w:szCs w:val="20"/>
        </w:rPr>
        <w:t>.</w:t>
      </w:r>
    </w:p>
  </w:footnote>
  <w:footnote w:id="6">
    <w:p w14:paraId="67406944" w14:textId="03A35D65" w:rsidR="005040AB" w:rsidRPr="00A2680F" w:rsidRDefault="005040AB"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rPr>
        <w:t xml:space="preserve"> Véase</w:t>
      </w:r>
      <w:r w:rsidR="009956FB" w:rsidRPr="00A2680F">
        <w:rPr>
          <w:rFonts w:ascii="Garamond" w:hAnsi="Garamond"/>
        </w:rPr>
        <w:t xml:space="preserve"> Amado Antonio</w:t>
      </w:r>
      <w:r w:rsidRPr="00A2680F">
        <w:rPr>
          <w:rFonts w:ascii="Garamond" w:hAnsi="Garamond"/>
        </w:rPr>
        <w:t xml:space="preserve"> </w:t>
      </w:r>
      <w:r w:rsidR="009956FB" w:rsidRPr="00A2680F">
        <w:rPr>
          <w:rFonts w:ascii="Garamond" w:hAnsi="Garamond"/>
        </w:rPr>
        <w:t xml:space="preserve">Guerrero Rincón, y Armando Martínez Garnica. </w:t>
      </w:r>
      <w:r w:rsidR="009956FB" w:rsidRPr="00A2680F">
        <w:rPr>
          <w:rFonts w:ascii="Garamond" w:hAnsi="Garamond"/>
          <w:iCs/>
        </w:rPr>
        <w:t>La provincia de Los Comuneros. Orígenes de sus poblamientos urbanos</w:t>
      </w:r>
      <w:r w:rsidR="009956FB" w:rsidRPr="00A2680F">
        <w:rPr>
          <w:rFonts w:ascii="Garamond" w:hAnsi="Garamond"/>
        </w:rPr>
        <w:t xml:space="preserve"> (Bucaramanga: Ediciones UIS, 1997)</w:t>
      </w:r>
      <w:r w:rsidRPr="00A2680F">
        <w:rPr>
          <w:rFonts w:ascii="Garamond" w:hAnsi="Garamond"/>
          <w:i/>
        </w:rPr>
        <w:t>,</w:t>
      </w:r>
      <w:r w:rsidRPr="00A2680F">
        <w:rPr>
          <w:rFonts w:ascii="Garamond" w:hAnsi="Garamond"/>
        </w:rPr>
        <w:t xml:space="preserve"> 32-33 y 82-85;</w:t>
      </w:r>
      <w:r w:rsidR="009956FB" w:rsidRPr="00A2680F">
        <w:rPr>
          <w:rFonts w:ascii="Garamond" w:hAnsi="Garamond"/>
        </w:rPr>
        <w:t xml:space="preserve"> Maurice Philip</w:t>
      </w:r>
      <w:r w:rsidRPr="00A2680F">
        <w:rPr>
          <w:rFonts w:ascii="Garamond" w:hAnsi="Garamond"/>
        </w:rPr>
        <w:t xml:space="preserve"> </w:t>
      </w:r>
      <w:r w:rsidR="009956FB" w:rsidRPr="00A2680F">
        <w:rPr>
          <w:rFonts w:ascii="Garamond" w:hAnsi="Garamond"/>
        </w:rPr>
        <w:t xml:space="preserve">Brungardt. </w:t>
      </w:r>
      <w:r w:rsidR="009956FB" w:rsidRPr="00A2680F">
        <w:rPr>
          <w:rFonts w:ascii="Garamond" w:hAnsi="Garamond"/>
          <w:iCs/>
          <w:lang w:val="en-US"/>
        </w:rPr>
        <w:t>Thithe production and patterns of economic change in Central Colombia, 1764-1833.</w:t>
      </w:r>
      <w:r w:rsidR="009956FB" w:rsidRPr="00A2680F">
        <w:rPr>
          <w:rFonts w:ascii="Garamond" w:hAnsi="Garamond"/>
          <w:lang w:val="en-US"/>
        </w:rPr>
        <w:t xml:space="preserve"> </w:t>
      </w:r>
      <w:r w:rsidR="009956FB" w:rsidRPr="00A2680F">
        <w:rPr>
          <w:rFonts w:ascii="Garamond" w:hAnsi="Garamond"/>
        </w:rPr>
        <w:t>(Tesis de doctorado, Universidad de Texas, 1974)</w:t>
      </w:r>
      <w:r w:rsidRPr="00A2680F">
        <w:rPr>
          <w:rFonts w:ascii="Garamond" w:hAnsi="Garamond"/>
        </w:rPr>
        <w:t xml:space="preserve">, 165-172; </w:t>
      </w:r>
      <w:r w:rsidR="009956FB" w:rsidRPr="00A2680F">
        <w:rPr>
          <w:rFonts w:ascii="Garamond" w:hAnsi="Garamond"/>
        </w:rPr>
        <w:t xml:space="preserve">Richard J. </w:t>
      </w:r>
      <w:r w:rsidRPr="00A2680F">
        <w:rPr>
          <w:rFonts w:ascii="Garamond" w:hAnsi="Garamond"/>
        </w:rPr>
        <w:t>Stoller</w:t>
      </w:r>
      <w:r w:rsidR="009956FB" w:rsidRPr="00A2680F">
        <w:rPr>
          <w:rFonts w:ascii="Garamond" w:hAnsi="Garamond"/>
        </w:rPr>
        <w:t>.</w:t>
      </w:r>
      <w:r w:rsidRPr="00A2680F">
        <w:rPr>
          <w:rFonts w:ascii="Garamond" w:hAnsi="Garamond"/>
        </w:rPr>
        <w:t xml:space="preserve"> </w:t>
      </w:r>
      <w:r w:rsidR="009956FB" w:rsidRPr="00A2680F">
        <w:rPr>
          <w:rFonts w:ascii="Garamond" w:hAnsi="Garamond"/>
          <w:iCs/>
        </w:rPr>
        <w:t>Liberalism and conflict in Socorro, Colombia, 1830-1870</w:t>
      </w:r>
      <w:r w:rsidR="009956FB" w:rsidRPr="00A2680F">
        <w:rPr>
          <w:rFonts w:ascii="Garamond" w:hAnsi="Garamond"/>
        </w:rPr>
        <w:t>. (Tesis de doctorado, Universidad de Duke, 1991)</w:t>
      </w:r>
      <w:r w:rsidRPr="00A2680F">
        <w:rPr>
          <w:rFonts w:ascii="Garamond" w:hAnsi="Garamond"/>
        </w:rPr>
        <w:t xml:space="preserve">, 31-34; </w:t>
      </w:r>
      <w:r w:rsidR="009956FB" w:rsidRPr="00A2680F">
        <w:rPr>
          <w:rFonts w:ascii="Garamond" w:hAnsi="Garamond"/>
        </w:rPr>
        <w:t xml:space="preserve">Mario </w:t>
      </w:r>
      <w:r w:rsidRPr="00A2680F">
        <w:rPr>
          <w:rFonts w:ascii="Garamond" w:hAnsi="Garamond"/>
        </w:rPr>
        <w:t>Aguilera Peña</w:t>
      </w:r>
      <w:r w:rsidR="009956FB" w:rsidRPr="00A2680F">
        <w:rPr>
          <w:rFonts w:ascii="Garamond" w:hAnsi="Garamond"/>
        </w:rPr>
        <w:t>.</w:t>
      </w:r>
      <w:r w:rsidRPr="00A2680F">
        <w:rPr>
          <w:rFonts w:ascii="Garamond" w:hAnsi="Garamond"/>
        </w:rPr>
        <w:t xml:space="preserve">  </w:t>
      </w:r>
      <w:r w:rsidR="009956FB" w:rsidRPr="00A2680F">
        <w:rPr>
          <w:rFonts w:ascii="Garamond" w:hAnsi="Garamond"/>
          <w:iCs/>
        </w:rPr>
        <w:t>Los comuneros: guerra social y lucha anticolonial</w:t>
      </w:r>
      <w:r w:rsidR="009956FB" w:rsidRPr="00A2680F">
        <w:rPr>
          <w:rFonts w:ascii="Garamond" w:hAnsi="Garamond"/>
        </w:rPr>
        <w:t>. (Bogotá: Universidad Nacional de Colombia, 1985)</w:t>
      </w:r>
      <w:r w:rsidRPr="00A2680F">
        <w:rPr>
          <w:rFonts w:ascii="Garamond" w:hAnsi="Garamond"/>
        </w:rPr>
        <w:t>, 18</w:t>
      </w:r>
      <w:r w:rsidR="00A40E02" w:rsidRPr="00A2680F">
        <w:rPr>
          <w:rFonts w:ascii="Garamond" w:hAnsi="Garamond"/>
        </w:rPr>
        <w:t xml:space="preserve">; </w:t>
      </w:r>
      <w:r w:rsidR="00D94051" w:rsidRPr="00A2680F">
        <w:rPr>
          <w:rFonts w:ascii="Garamond" w:hAnsi="Garamond"/>
        </w:rPr>
        <w:t>Robinson Salazar Carreño. Tierra y mercados. Campesinos, estancieros y hacendados en la jurisdicción de la villa de San Gil, siglo XVIII (Bogotá: Ediciones Uniandes, 2011)</w:t>
      </w:r>
      <w:r w:rsidR="00A40E02" w:rsidRPr="00A2680F">
        <w:rPr>
          <w:rFonts w:ascii="Garamond" w:hAnsi="Garamond"/>
        </w:rPr>
        <w:t>, 16, 19-20</w:t>
      </w:r>
      <w:r w:rsidR="00584D55" w:rsidRPr="00A2680F">
        <w:rPr>
          <w:rFonts w:ascii="Garamond" w:hAnsi="Garamond"/>
        </w:rPr>
        <w:t xml:space="preserve">, </w:t>
      </w:r>
      <w:r w:rsidR="008435FA" w:rsidRPr="00A2680F">
        <w:rPr>
          <w:rFonts w:ascii="Garamond" w:hAnsi="Garamond"/>
        </w:rPr>
        <w:t xml:space="preserve">71 y </w:t>
      </w:r>
      <w:r w:rsidR="00584D55" w:rsidRPr="00A2680F">
        <w:rPr>
          <w:rFonts w:ascii="Garamond" w:hAnsi="Garamond"/>
        </w:rPr>
        <w:t>130.</w:t>
      </w:r>
    </w:p>
  </w:footnote>
  <w:footnote w:id="7">
    <w:p w14:paraId="741B47BC" w14:textId="6D8606CE" w:rsidR="00D2529B" w:rsidRPr="00A2680F" w:rsidRDefault="00D2529B"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D94051" w:rsidRPr="00A2680F">
        <w:rPr>
          <w:rFonts w:ascii="Garamond" w:hAnsi="Garamond"/>
        </w:rPr>
        <w:t>Robinson Salazar. Tierra y mercados</w:t>
      </w:r>
      <w:r w:rsidRPr="00A2680F">
        <w:rPr>
          <w:rFonts w:ascii="Garamond" w:hAnsi="Garamond"/>
        </w:rPr>
        <w:t xml:space="preserve">, 162; </w:t>
      </w:r>
      <w:r w:rsidR="00DD14AA" w:rsidRPr="00A2680F">
        <w:rPr>
          <w:rFonts w:ascii="Garamond" w:hAnsi="Garamond"/>
        </w:rPr>
        <w:t xml:space="preserve">Robinson </w:t>
      </w:r>
      <w:r w:rsidR="00581F54" w:rsidRPr="00A2680F">
        <w:rPr>
          <w:rFonts w:ascii="Garamond" w:hAnsi="Garamond"/>
        </w:rPr>
        <w:t>Salazar Carreño. Familias de esclavos en la Villa de San Gil (Nuevo Reino de Granada): parentesco, supervivencia e integración social. (Tesis de doctorado, El Colegio de México, 2017)</w:t>
      </w:r>
      <w:r w:rsidR="006F69D9" w:rsidRPr="00A2680F">
        <w:rPr>
          <w:rFonts w:ascii="Garamond" w:hAnsi="Garamond"/>
        </w:rPr>
        <w:t>,</w:t>
      </w:r>
      <w:r w:rsidRPr="00A2680F">
        <w:rPr>
          <w:rFonts w:ascii="Garamond" w:hAnsi="Garamond"/>
        </w:rPr>
        <w:t xml:space="preserve"> 80-81</w:t>
      </w:r>
      <w:r w:rsidR="004515C9" w:rsidRPr="00A2680F">
        <w:rPr>
          <w:rFonts w:ascii="Garamond" w:hAnsi="Garamond"/>
        </w:rPr>
        <w:t xml:space="preserve"> y</w:t>
      </w:r>
      <w:r w:rsidRPr="00A2680F">
        <w:rPr>
          <w:rFonts w:ascii="Garamond" w:hAnsi="Garamond"/>
        </w:rPr>
        <w:t xml:space="preserve"> 115.</w:t>
      </w:r>
    </w:p>
  </w:footnote>
  <w:footnote w:id="8">
    <w:p w14:paraId="608B505D" w14:textId="645C984F" w:rsidR="00D2529B" w:rsidRPr="00A2680F" w:rsidRDefault="00D2529B"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6F69D9" w:rsidRPr="00A2680F">
        <w:rPr>
          <w:rFonts w:ascii="Garamond" w:hAnsi="Garamond"/>
        </w:rPr>
        <w:t>Robinson Salazar. Familias de esclavos en la Villa de San Gil</w:t>
      </w:r>
      <w:r w:rsidRPr="00A2680F">
        <w:rPr>
          <w:rFonts w:ascii="Garamond" w:hAnsi="Garamond"/>
        </w:rPr>
        <w:t xml:space="preserve">, 83-84, 122-123 y 258-261. </w:t>
      </w:r>
    </w:p>
  </w:footnote>
  <w:footnote w:id="9">
    <w:p w14:paraId="173146F9" w14:textId="6F1431AC" w:rsidR="006C74DE" w:rsidRPr="00A2680F" w:rsidRDefault="006C74D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515C9" w:rsidRPr="00A2680F">
        <w:rPr>
          <w:rFonts w:ascii="Garamond" w:hAnsi="Garamond"/>
        </w:rPr>
        <w:t xml:space="preserve">James Scott. </w:t>
      </w:r>
      <w:r w:rsidR="004515C9" w:rsidRPr="00A2680F">
        <w:rPr>
          <w:rFonts w:ascii="Garamond" w:hAnsi="Garamond"/>
          <w:iCs/>
        </w:rPr>
        <w:t>Los dominados y el arte de la Resistencia. Discursos ocultos</w:t>
      </w:r>
      <w:r w:rsidR="004515C9" w:rsidRPr="00A2680F">
        <w:rPr>
          <w:rFonts w:ascii="Garamond" w:hAnsi="Garamond"/>
        </w:rPr>
        <w:t xml:space="preserve"> (México: Ediciones Era, 2000)</w:t>
      </w:r>
      <w:r w:rsidRPr="00A2680F">
        <w:rPr>
          <w:rFonts w:ascii="Garamond" w:hAnsi="Garamond"/>
        </w:rPr>
        <w:t>, 72-75.</w:t>
      </w:r>
    </w:p>
  </w:footnote>
  <w:footnote w:id="10">
    <w:p w14:paraId="2D134652"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AGN, Sección colonia, </w:t>
      </w:r>
      <w:r w:rsidRPr="00A2680F">
        <w:rPr>
          <w:rFonts w:ascii="Garamond" w:hAnsi="Garamond"/>
          <w:i/>
        </w:rPr>
        <w:t>Fondo negros y esclavos de Santander</w:t>
      </w:r>
      <w:r w:rsidRPr="00A2680F">
        <w:rPr>
          <w:rFonts w:ascii="Garamond" w:hAnsi="Garamond"/>
        </w:rPr>
        <w:t>, t. 4, año 1805, ff. 326v-237r.</w:t>
      </w:r>
    </w:p>
  </w:footnote>
  <w:footnote w:id="11">
    <w:p w14:paraId="75062242" w14:textId="4B71E857" w:rsidR="006C74DE" w:rsidRPr="00A2680F" w:rsidRDefault="006C74D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97E9C" w:rsidRPr="00A2680F">
        <w:rPr>
          <w:rFonts w:ascii="Garamond" w:hAnsi="Garamond"/>
        </w:rPr>
        <w:t>Marcela Echeverri. “Conflicto y hegemonía en el suroccidente de la Nueva Granada”</w:t>
      </w:r>
      <w:r w:rsidR="00274938" w:rsidRPr="00A2680F">
        <w:rPr>
          <w:rFonts w:ascii="Garamond" w:hAnsi="Garamond"/>
        </w:rPr>
        <w:t>:</w:t>
      </w:r>
      <w:r w:rsidRPr="00A2680F">
        <w:rPr>
          <w:rFonts w:ascii="Garamond" w:hAnsi="Garamond"/>
        </w:rPr>
        <w:t xml:space="preserve"> 362.</w:t>
      </w:r>
    </w:p>
  </w:footnote>
  <w:footnote w:id="12">
    <w:p w14:paraId="577D91DA"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AGN, Sección colonia, </w:t>
      </w:r>
      <w:r w:rsidRPr="00A2680F">
        <w:rPr>
          <w:rFonts w:ascii="Garamond" w:hAnsi="Garamond"/>
          <w:i/>
        </w:rPr>
        <w:t>Fondo negros y esclavos de Santander</w:t>
      </w:r>
      <w:r w:rsidRPr="00A2680F">
        <w:rPr>
          <w:rFonts w:ascii="Garamond" w:hAnsi="Garamond"/>
        </w:rPr>
        <w:t>, t. 4, año 1805, f. 326v.</w:t>
      </w:r>
    </w:p>
  </w:footnote>
  <w:footnote w:id="13">
    <w:p w14:paraId="464857F2" w14:textId="65886169" w:rsidR="006C74DE" w:rsidRPr="00A2680F" w:rsidRDefault="006C74D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0047279F" w:rsidRPr="00A2680F">
        <w:rPr>
          <w:rFonts w:ascii="Garamond" w:hAnsi="Garamond"/>
        </w:rPr>
        <w:t xml:space="preserve"> </w:t>
      </w:r>
      <w:r w:rsidRPr="00A2680F">
        <w:rPr>
          <w:rFonts w:ascii="Garamond" w:hAnsi="Garamond"/>
        </w:rPr>
        <w:t xml:space="preserve">164. </w:t>
      </w:r>
    </w:p>
  </w:footnote>
  <w:footnote w:id="14">
    <w:p w14:paraId="7822D3E4" w14:textId="6CF88E60" w:rsidR="0021464E" w:rsidRPr="00A2680F" w:rsidRDefault="0021464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CF503A" w:rsidRPr="00A2680F">
        <w:rPr>
          <w:rFonts w:ascii="Garamond" w:hAnsi="Garamond"/>
        </w:rPr>
        <w:t xml:space="preserve">James Scott. </w:t>
      </w:r>
      <w:r w:rsidR="00CF503A" w:rsidRPr="00A2680F">
        <w:rPr>
          <w:rFonts w:ascii="Garamond" w:hAnsi="Garamond"/>
          <w:iCs/>
        </w:rPr>
        <w:t>Los dominados y el arte de la Resistencia</w:t>
      </w:r>
      <w:r w:rsidRPr="00A2680F">
        <w:rPr>
          <w:rFonts w:ascii="Garamond" w:hAnsi="Garamond"/>
        </w:rPr>
        <w:t>, 76-77.</w:t>
      </w:r>
    </w:p>
  </w:footnote>
  <w:footnote w:id="15">
    <w:p w14:paraId="07513EC7" w14:textId="77777777" w:rsidR="00454BD6" w:rsidRPr="00A2680F" w:rsidRDefault="00454BD6"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lang w:val="es-CO"/>
        </w:rPr>
        <w:t xml:space="preserve"> </w:t>
      </w:r>
      <w:r w:rsidRPr="00A2680F">
        <w:rPr>
          <w:rFonts w:ascii="Garamond" w:hAnsi="Garamond"/>
        </w:rPr>
        <w:t xml:space="preserve">AGN, Sección colonia, </w:t>
      </w:r>
      <w:r w:rsidRPr="00A2680F">
        <w:rPr>
          <w:rFonts w:ascii="Garamond" w:hAnsi="Garamond"/>
          <w:i/>
        </w:rPr>
        <w:t>Fondo negros y esclavos de Santander</w:t>
      </w:r>
      <w:r w:rsidRPr="00A2680F">
        <w:rPr>
          <w:rFonts w:ascii="Garamond" w:hAnsi="Garamond"/>
        </w:rPr>
        <w:t>, t. 4, año 1805, f</w:t>
      </w:r>
      <w:r w:rsidRPr="00A2680F">
        <w:rPr>
          <w:rFonts w:ascii="Garamond" w:hAnsi="Garamond"/>
          <w:lang w:val="es-CO"/>
        </w:rPr>
        <w:t>f. 327r-328v.</w:t>
      </w:r>
    </w:p>
  </w:footnote>
  <w:footnote w:id="16">
    <w:p w14:paraId="43C494A7" w14:textId="0BDB9841" w:rsidR="0021464E" w:rsidRPr="00A2680F" w:rsidRDefault="0021464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00F77858" w:rsidRPr="00A2680F">
        <w:rPr>
          <w:rFonts w:ascii="Garamond" w:hAnsi="Garamond"/>
        </w:rPr>
        <w:t xml:space="preserve"> </w:t>
      </w:r>
      <w:r w:rsidRPr="00A2680F">
        <w:rPr>
          <w:rFonts w:ascii="Garamond" w:hAnsi="Garamond"/>
        </w:rPr>
        <w:t>143.</w:t>
      </w:r>
    </w:p>
  </w:footnote>
  <w:footnote w:id="17">
    <w:p w14:paraId="52E1FEF5"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AGN, Sección colonia, </w:t>
      </w:r>
      <w:r w:rsidRPr="00A2680F">
        <w:rPr>
          <w:rFonts w:ascii="Garamond" w:hAnsi="Garamond"/>
          <w:i/>
        </w:rPr>
        <w:t>Fondo negros y esclavos de Santander</w:t>
      </w:r>
      <w:r w:rsidRPr="00A2680F">
        <w:rPr>
          <w:rFonts w:ascii="Garamond" w:hAnsi="Garamond"/>
        </w:rPr>
        <w:t>, t. 4, año 1805, ff. 323r, 326v-327r.</w:t>
      </w:r>
    </w:p>
  </w:footnote>
  <w:footnote w:id="18">
    <w:p w14:paraId="1A9B7FCA" w14:textId="43718EDC" w:rsidR="0021464E" w:rsidRPr="00A2680F" w:rsidRDefault="0021464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Pr="00A2680F">
        <w:rPr>
          <w:rFonts w:ascii="Garamond" w:hAnsi="Garamond"/>
        </w:rPr>
        <w:t>, 81.</w:t>
      </w:r>
    </w:p>
  </w:footnote>
  <w:footnote w:id="19">
    <w:p w14:paraId="4BF7EF0F" w14:textId="4F3F8E31" w:rsidR="0021464E" w:rsidRPr="00A2680F" w:rsidRDefault="0021464E"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0047279F" w:rsidRPr="00A2680F">
        <w:rPr>
          <w:rFonts w:ascii="Garamond" w:hAnsi="Garamond"/>
        </w:rPr>
        <w:t>,</w:t>
      </w:r>
      <w:r w:rsidRPr="00A2680F">
        <w:rPr>
          <w:rFonts w:ascii="Garamond" w:hAnsi="Garamond"/>
        </w:rPr>
        <w:t xml:space="preserve"> 164-165. </w:t>
      </w:r>
    </w:p>
  </w:footnote>
  <w:footnote w:id="20">
    <w:p w14:paraId="42FECC5A"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AGN, Sección colonia, </w:t>
      </w:r>
      <w:r w:rsidRPr="00A2680F">
        <w:rPr>
          <w:rFonts w:ascii="Garamond" w:hAnsi="Garamond"/>
          <w:i/>
        </w:rPr>
        <w:t>Fondo negros y esclavos de Santander</w:t>
      </w:r>
      <w:r w:rsidRPr="00A2680F">
        <w:rPr>
          <w:rFonts w:ascii="Garamond" w:hAnsi="Garamond"/>
        </w:rPr>
        <w:t>, t. 4, año 1805, f. 338v.</w:t>
      </w:r>
    </w:p>
  </w:footnote>
  <w:footnote w:id="21">
    <w:p w14:paraId="43F2803F"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AGN, Sección colonia, </w:t>
      </w:r>
      <w:r w:rsidRPr="00A2680F">
        <w:rPr>
          <w:rFonts w:ascii="Garamond" w:hAnsi="Garamond"/>
          <w:i/>
        </w:rPr>
        <w:t>Fondo negros y esclavos de Santander</w:t>
      </w:r>
      <w:r w:rsidRPr="00A2680F">
        <w:rPr>
          <w:rFonts w:ascii="Garamond" w:hAnsi="Garamond"/>
        </w:rPr>
        <w:t>, t. 4, año 1805, f. 341v-342r.</w:t>
      </w:r>
    </w:p>
  </w:footnote>
  <w:footnote w:id="22">
    <w:p w14:paraId="492ECBC6" w14:textId="77777777" w:rsidR="00454BD6" w:rsidRPr="00A2680F" w:rsidRDefault="00454BD6"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lang w:val="es-CO"/>
        </w:rPr>
        <w:t xml:space="preserve"> </w:t>
      </w:r>
      <w:r w:rsidRPr="00A2680F">
        <w:rPr>
          <w:rFonts w:ascii="Garamond" w:hAnsi="Garamond"/>
        </w:rPr>
        <w:t xml:space="preserve">AGN, Sección colonia, </w:t>
      </w:r>
      <w:r w:rsidRPr="00A2680F">
        <w:rPr>
          <w:rFonts w:ascii="Garamond" w:hAnsi="Garamond"/>
          <w:i/>
        </w:rPr>
        <w:t>Fondo negros y esclavos de Santander</w:t>
      </w:r>
      <w:r w:rsidRPr="00A2680F">
        <w:rPr>
          <w:rFonts w:ascii="Garamond" w:hAnsi="Garamond"/>
        </w:rPr>
        <w:t>, t. 4, año 1805, f</w:t>
      </w:r>
      <w:r w:rsidRPr="00A2680F">
        <w:rPr>
          <w:rFonts w:ascii="Garamond" w:hAnsi="Garamond"/>
          <w:lang w:val="es-CO"/>
        </w:rPr>
        <w:t>f. 333r-v.</w:t>
      </w:r>
    </w:p>
  </w:footnote>
  <w:footnote w:id="23">
    <w:p w14:paraId="2ED2F4DF" w14:textId="6D8355D6" w:rsidR="00FC54B1" w:rsidRPr="00A2680F" w:rsidRDefault="00FC54B1"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00F77858" w:rsidRPr="00A2680F">
        <w:rPr>
          <w:rFonts w:ascii="Garamond" w:hAnsi="Garamond"/>
        </w:rPr>
        <w:t>,</w:t>
      </w:r>
      <w:r w:rsidRPr="00A2680F">
        <w:rPr>
          <w:rFonts w:ascii="Garamond" w:hAnsi="Garamond"/>
        </w:rPr>
        <w:t xml:space="preserve"> 81-82.</w:t>
      </w:r>
    </w:p>
  </w:footnote>
  <w:footnote w:id="24">
    <w:p w14:paraId="234C516F" w14:textId="77777777" w:rsidR="00454BD6" w:rsidRPr="00A2680F" w:rsidRDefault="00454BD6"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lang w:val="es-CO"/>
        </w:rPr>
        <w:t xml:space="preserve"> </w:t>
      </w:r>
      <w:r w:rsidRPr="00A2680F">
        <w:rPr>
          <w:rFonts w:ascii="Garamond" w:hAnsi="Garamond"/>
        </w:rPr>
        <w:t xml:space="preserve">AGN, Sección colonia, </w:t>
      </w:r>
      <w:r w:rsidRPr="00A2680F">
        <w:rPr>
          <w:rFonts w:ascii="Garamond" w:hAnsi="Garamond"/>
          <w:i/>
        </w:rPr>
        <w:t>Fondo negros y esclavos de Santander</w:t>
      </w:r>
      <w:r w:rsidRPr="00A2680F">
        <w:rPr>
          <w:rFonts w:ascii="Garamond" w:hAnsi="Garamond"/>
        </w:rPr>
        <w:t>, t. 4, año 1805, f</w:t>
      </w:r>
      <w:r w:rsidRPr="00A2680F">
        <w:rPr>
          <w:rFonts w:ascii="Garamond" w:hAnsi="Garamond"/>
          <w:lang w:val="es-CO"/>
        </w:rPr>
        <w:t>. 345v.</w:t>
      </w:r>
    </w:p>
  </w:footnote>
  <w:footnote w:id="25">
    <w:p w14:paraId="41DCD562" w14:textId="77777777" w:rsidR="00454BD6" w:rsidRPr="00A2680F" w:rsidRDefault="00454BD6"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lang w:val="es-CO"/>
        </w:rPr>
        <w:t xml:space="preserve"> </w:t>
      </w:r>
      <w:r w:rsidRPr="00A2680F">
        <w:rPr>
          <w:rFonts w:ascii="Garamond" w:hAnsi="Garamond"/>
        </w:rPr>
        <w:t xml:space="preserve">AGN, Sección colonia, </w:t>
      </w:r>
      <w:r w:rsidRPr="00A2680F">
        <w:rPr>
          <w:rFonts w:ascii="Garamond" w:hAnsi="Garamond"/>
          <w:i/>
        </w:rPr>
        <w:t>Fondo negros y esclavos de Santander</w:t>
      </w:r>
      <w:r w:rsidRPr="00A2680F">
        <w:rPr>
          <w:rFonts w:ascii="Garamond" w:hAnsi="Garamond"/>
        </w:rPr>
        <w:t>, t. 4, año 1805, f</w:t>
      </w:r>
      <w:r w:rsidRPr="00A2680F">
        <w:rPr>
          <w:rFonts w:ascii="Garamond" w:hAnsi="Garamond"/>
          <w:lang w:val="es-CO"/>
        </w:rPr>
        <w:t>. 341r.</w:t>
      </w:r>
    </w:p>
  </w:footnote>
  <w:footnote w:id="26">
    <w:p w14:paraId="4FF2E412" w14:textId="77777777" w:rsidR="00454BD6" w:rsidRPr="00A2680F" w:rsidRDefault="00454BD6"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lang w:val="es-CO"/>
        </w:rPr>
        <w:t xml:space="preserve"> </w:t>
      </w:r>
      <w:r w:rsidRPr="00A2680F">
        <w:rPr>
          <w:rFonts w:ascii="Garamond" w:hAnsi="Garamond"/>
        </w:rPr>
        <w:t xml:space="preserve">AGN, Sección colonia, </w:t>
      </w:r>
      <w:r w:rsidRPr="00A2680F">
        <w:rPr>
          <w:rFonts w:ascii="Garamond" w:hAnsi="Garamond"/>
          <w:i/>
        </w:rPr>
        <w:t>Fondo negros y esclavos de Santander</w:t>
      </w:r>
      <w:r w:rsidRPr="00A2680F">
        <w:rPr>
          <w:rFonts w:ascii="Garamond" w:hAnsi="Garamond"/>
        </w:rPr>
        <w:t>, t. 4, año 1805, f</w:t>
      </w:r>
      <w:r w:rsidRPr="00A2680F">
        <w:rPr>
          <w:rFonts w:ascii="Garamond" w:hAnsi="Garamond"/>
          <w:lang w:val="es-CO"/>
        </w:rPr>
        <w:t>f. 328v-329r.</w:t>
      </w:r>
    </w:p>
  </w:footnote>
  <w:footnote w:id="27">
    <w:p w14:paraId="34246DB7" w14:textId="77777777" w:rsidR="00454BD6" w:rsidRPr="00A2680F" w:rsidRDefault="00454BD6" w:rsidP="00A2680F">
      <w:pPr>
        <w:pStyle w:val="Textonotapie"/>
        <w:jc w:val="both"/>
        <w:rPr>
          <w:rFonts w:ascii="Garamond" w:hAnsi="Garamond"/>
          <w:lang w:val="es-CO"/>
        </w:rPr>
      </w:pPr>
      <w:r w:rsidRPr="00A2680F">
        <w:rPr>
          <w:rStyle w:val="Refdenotaalpie"/>
          <w:rFonts w:ascii="Garamond" w:hAnsi="Garamond"/>
        </w:rPr>
        <w:footnoteRef/>
      </w:r>
      <w:r w:rsidRPr="00A2680F">
        <w:rPr>
          <w:rFonts w:ascii="Garamond" w:hAnsi="Garamond"/>
          <w:lang w:val="es-CO"/>
        </w:rPr>
        <w:t xml:space="preserve"> </w:t>
      </w:r>
      <w:r w:rsidRPr="00A2680F">
        <w:rPr>
          <w:rFonts w:ascii="Garamond" w:hAnsi="Garamond"/>
        </w:rPr>
        <w:t xml:space="preserve">AGN, Sección colonia, </w:t>
      </w:r>
      <w:r w:rsidRPr="00A2680F">
        <w:rPr>
          <w:rFonts w:ascii="Garamond" w:hAnsi="Garamond"/>
          <w:i/>
        </w:rPr>
        <w:t>Fondo negros y esclavos de Santander</w:t>
      </w:r>
      <w:r w:rsidRPr="00A2680F">
        <w:rPr>
          <w:rFonts w:ascii="Garamond" w:hAnsi="Garamond"/>
        </w:rPr>
        <w:t>, t. 4, año 1805, f</w:t>
      </w:r>
      <w:r w:rsidRPr="00A2680F">
        <w:rPr>
          <w:rFonts w:ascii="Garamond" w:hAnsi="Garamond"/>
          <w:lang w:val="es-CO"/>
        </w:rPr>
        <w:t>f. 356r-v.</w:t>
      </w:r>
    </w:p>
  </w:footnote>
  <w:footnote w:id="28">
    <w:p w14:paraId="7491E3E3" w14:textId="77777777"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AGN, Sección colonia, </w:t>
      </w:r>
      <w:r w:rsidRPr="00A2680F">
        <w:rPr>
          <w:rFonts w:ascii="Garamond" w:hAnsi="Garamond"/>
          <w:i/>
        </w:rPr>
        <w:t>Fondo negros y esclavos de Santander</w:t>
      </w:r>
      <w:r w:rsidRPr="00A2680F">
        <w:rPr>
          <w:rFonts w:ascii="Garamond" w:hAnsi="Garamond"/>
        </w:rPr>
        <w:t>, t. 4, año 1805, ff. 321v-322r.</w:t>
      </w:r>
    </w:p>
  </w:footnote>
  <w:footnote w:id="29">
    <w:p w14:paraId="6BDE53FC" w14:textId="213651A8" w:rsidR="00FC54B1" w:rsidRPr="00A2680F" w:rsidRDefault="00FC54B1"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D33E07" w:rsidRPr="00A2680F">
        <w:rPr>
          <w:rFonts w:ascii="Garamond" w:hAnsi="Garamond"/>
        </w:rPr>
        <w:t>Viviana Kluger. “¿Todo tiempo pasado fue mejor?”</w:t>
      </w:r>
      <w:r w:rsidR="00274938" w:rsidRPr="00A2680F">
        <w:rPr>
          <w:rFonts w:ascii="Garamond" w:hAnsi="Garamond"/>
        </w:rPr>
        <w:t xml:space="preserve">: </w:t>
      </w:r>
      <w:r w:rsidRPr="00A2680F">
        <w:rPr>
          <w:rFonts w:ascii="Garamond" w:hAnsi="Garamond"/>
        </w:rPr>
        <w:t>11.</w:t>
      </w:r>
    </w:p>
  </w:footnote>
  <w:footnote w:id="30">
    <w:p w14:paraId="49813ED6" w14:textId="46A1EC06" w:rsidR="00FC54B1" w:rsidRPr="00A2680F" w:rsidRDefault="00FC54B1"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7B2CAF" w:rsidRPr="00A2680F">
        <w:rPr>
          <w:rFonts w:ascii="Garamond" w:hAnsi="Garamond"/>
        </w:rPr>
        <w:t xml:space="preserve">María Eugenia </w:t>
      </w:r>
      <w:r w:rsidR="00274938" w:rsidRPr="00A2680F">
        <w:rPr>
          <w:rFonts w:ascii="Garamond" w:hAnsi="Garamond"/>
        </w:rPr>
        <w:t xml:space="preserve">Chaves. “Esclavizados, cimarrones y bandidos. Historias de resistencia en el valle del Chota-Mira, en el contexto de la revolución de los marqueses quiteños: 1770-1820”. En </w:t>
      </w:r>
      <w:r w:rsidR="00274938" w:rsidRPr="00A2680F">
        <w:rPr>
          <w:rFonts w:ascii="Garamond" w:hAnsi="Garamond"/>
          <w:i/>
          <w:iCs/>
        </w:rPr>
        <w:t>Indios, negros y mestizos en la independencia,</w:t>
      </w:r>
      <w:r w:rsidR="00274938" w:rsidRPr="00A2680F">
        <w:rPr>
          <w:rFonts w:ascii="Garamond" w:hAnsi="Garamond"/>
        </w:rPr>
        <w:t xml:space="preserve"> editado por Heraclio Bonilla. Bogotá: Editorial Planeta, 2010,</w:t>
      </w:r>
      <w:r w:rsidRPr="00A2680F">
        <w:rPr>
          <w:rFonts w:ascii="Garamond" w:hAnsi="Garamond"/>
        </w:rPr>
        <w:t xml:space="preserve"> 135.</w:t>
      </w:r>
    </w:p>
  </w:footnote>
  <w:footnote w:id="31">
    <w:p w14:paraId="0F974D1E" w14:textId="60EAAB38" w:rsidR="00FC54B1" w:rsidRPr="00A2680F" w:rsidRDefault="00FC54B1"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00F77858" w:rsidRPr="00A2680F">
        <w:rPr>
          <w:rFonts w:ascii="Garamond" w:hAnsi="Garamond"/>
        </w:rPr>
        <w:t>,</w:t>
      </w:r>
      <w:r w:rsidRPr="00A2680F">
        <w:rPr>
          <w:rFonts w:ascii="Garamond" w:hAnsi="Garamond"/>
        </w:rPr>
        <w:t xml:space="preserve"> 113 y 140.</w:t>
      </w:r>
    </w:p>
  </w:footnote>
  <w:footnote w:id="32">
    <w:p w14:paraId="2C0A141D" w14:textId="61865D18" w:rsidR="00FC54B1" w:rsidRPr="00A2680F" w:rsidRDefault="00FC54B1"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00F77858" w:rsidRPr="00A2680F">
        <w:rPr>
          <w:rFonts w:ascii="Garamond" w:hAnsi="Garamond"/>
        </w:rPr>
        <w:t>,</w:t>
      </w:r>
      <w:r w:rsidRPr="00A2680F">
        <w:rPr>
          <w:rFonts w:ascii="Garamond" w:hAnsi="Garamond"/>
        </w:rPr>
        <w:t xml:space="preserve"> 144 y 151-152.</w:t>
      </w:r>
    </w:p>
  </w:footnote>
  <w:footnote w:id="33">
    <w:p w14:paraId="46767951" w14:textId="26DCA4FD" w:rsidR="00FC54B1" w:rsidRPr="00A2680F" w:rsidRDefault="00FC54B1"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00F77858" w:rsidRPr="00A2680F">
        <w:rPr>
          <w:rFonts w:ascii="Garamond" w:hAnsi="Garamond"/>
        </w:rPr>
        <w:t>,</w:t>
      </w:r>
      <w:r w:rsidRPr="00A2680F">
        <w:rPr>
          <w:rFonts w:ascii="Garamond" w:hAnsi="Garamond"/>
        </w:rPr>
        <w:t xml:space="preserve"> 144 y 148-149.</w:t>
      </w:r>
    </w:p>
  </w:footnote>
  <w:footnote w:id="34">
    <w:p w14:paraId="1BE07693"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327r.</w:t>
      </w:r>
    </w:p>
  </w:footnote>
  <w:footnote w:id="35">
    <w:p w14:paraId="0D31A9AA" w14:textId="617095AC" w:rsidR="00454BD6" w:rsidRPr="00A2680F" w:rsidRDefault="00454BD6" w:rsidP="00A2680F">
      <w:pPr>
        <w:pStyle w:val="Textonotapie"/>
        <w:jc w:val="both"/>
        <w:rPr>
          <w:rFonts w:ascii="Garamond" w:hAnsi="Garamond"/>
        </w:rPr>
      </w:pPr>
      <w:r w:rsidRPr="00A2680F">
        <w:rPr>
          <w:rStyle w:val="Refdenotaalpie"/>
          <w:rFonts w:ascii="Garamond" w:hAnsi="Garamond"/>
        </w:rPr>
        <w:footnoteRef/>
      </w:r>
      <w:r w:rsidR="00887FA7" w:rsidRPr="00A2680F">
        <w:rPr>
          <w:rFonts w:ascii="Garamond" w:hAnsi="Garamond"/>
        </w:rPr>
        <w:t xml:space="preserve"> </w:t>
      </w:r>
      <w:r w:rsidRPr="00A2680F">
        <w:rPr>
          <w:rFonts w:ascii="Garamond" w:hAnsi="Garamond"/>
        </w:rPr>
        <w:t>El compadrazgo significaba establecer lazos de amistad, de solidaridad y ayuda entre compadres, así como una acción tutelar de los padrinos: “Ese parentesco espiritual era más fuerte cuando se estaba en esclavitud, pues a no ser apoyo afectivo y consejos para la vida ¿qué otra cosa podía ofrecerle un esclavo a su ahijado también esclavo?”</w:t>
      </w:r>
      <w:r w:rsidR="00100A24" w:rsidRPr="00A2680F">
        <w:rPr>
          <w:rFonts w:ascii="Garamond" w:hAnsi="Garamond"/>
        </w:rPr>
        <w:t>. Véase</w:t>
      </w:r>
      <w:r w:rsidR="0050129D" w:rsidRPr="00A2680F">
        <w:rPr>
          <w:rFonts w:ascii="Garamond" w:hAnsi="Garamond"/>
        </w:rPr>
        <w:t xml:space="preserve"> Aisnara</w:t>
      </w:r>
      <w:r w:rsidR="00100A24" w:rsidRPr="00A2680F">
        <w:rPr>
          <w:rFonts w:ascii="Garamond" w:hAnsi="Garamond"/>
        </w:rPr>
        <w:t xml:space="preserve"> </w:t>
      </w:r>
      <w:r w:rsidR="0050129D" w:rsidRPr="00A2680F">
        <w:rPr>
          <w:rFonts w:ascii="Garamond" w:hAnsi="Garamond"/>
        </w:rPr>
        <w:t xml:space="preserve">Perera Díaz y María de los Ángeles Meriño Fuentes. </w:t>
      </w:r>
      <w:r w:rsidR="0050129D" w:rsidRPr="00A2680F">
        <w:rPr>
          <w:rFonts w:ascii="Garamond" w:hAnsi="Garamond"/>
          <w:iCs/>
        </w:rPr>
        <w:t>Esclavitud, familia y parroquia en Cuba: Otra mirada desde la microhistoria</w:t>
      </w:r>
      <w:r w:rsidR="0050129D" w:rsidRPr="00A2680F">
        <w:rPr>
          <w:rFonts w:ascii="Garamond" w:hAnsi="Garamond"/>
        </w:rPr>
        <w:t xml:space="preserve"> </w:t>
      </w:r>
      <w:r w:rsidR="00830EA5" w:rsidRPr="00A2680F">
        <w:rPr>
          <w:rFonts w:ascii="Garamond" w:hAnsi="Garamond"/>
        </w:rPr>
        <w:t>(</w:t>
      </w:r>
      <w:r w:rsidR="0050129D" w:rsidRPr="00A2680F">
        <w:rPr>
          <w:rFonts w:ascii="Garamond" w:hAnsi="Garamond"/>
        </w:rPr>
        <w:t>Santiago de Cuba: Editorial Oriente, 2006</w:t>
      </w:r>
      <w:r w:rsidR="00830EA5" w:rsidRPr="00A2680F">
        <w:rPr>
          <w:rFonts w:ascii="Garamond" w:hAnsi="Garamond"/>
        </w:rPr>
        <w:t>)</w:t>
      </w:r>
      <w:r w:rsidR="00100A24" w:rsidRPr="00A2680F">
        <w:rPr>
          <w:rFonts w:ascii="Garamond" w:hAnsi="Garamond"/>
        </w:rPr>
        <w:t>, 59.</w:t>
      </w:r>
    </w:p>
  </w:footnote>
  <w:footnote w:id="36">
    <w:p w14:paraId="4546A471"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00953D06" w:rsidRPr="00A2680F">
        <w:rPr>
          <w:rFonts w:ascii="Garamond" w:hAnsi="Garamond" w:cs="Times New Roman"/>
          <w:sz w:val="20"/>
          <w:szCs w:val="20"/>
        </w:rPr>
        <w:t>, t. 4, año 1805, ff. 327r-v</w:t>
      </w:r>
      <w:r w:rsidRPr="00A2680F">
        <w:rPr>
          <w:rFonts w:ascii="Garamond" w:hAnsi="Garamond" w:cs="Times New Roman"/>
          <w:sz w:val="20"/>
          <w:szCs w:val="20"/>
        </w:rPr>
        <w:t xml:space="preserve"> y 339v.</w:t>
      </w:r>
    </w:p>
  </w:footnote>
  <w:footnote w:id="37">
    <w:p w14:paraId="421F5A0B"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xml:space="preserve">, t. 4, año 1805, f. 341v. </w:t>
      </w:r>
    </w:p>
  </w:footnote>
  <w:footnote w:id="38">
    <w:p w14:paraId="5F03D011" w14:textId="19202E6A" w:rsidR="002D59E5" w:rsidRPr="00A2680F" w:rsidRDefault="002D59E5"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0047279F" w:rsidRPr="00A2680F">
        <w:rPr>
          <w:rFonts w:ascii="Garamond" w:hAnsi="Garamond"/>
        </w:rPr>
        <w:t>,</w:t>
      </w:r>
      <w:r w:rsidRPr="00A2680F">
        <w:rPr>
          <w:rFonts w:ascii="Garamond" w:hAnsi="Garamond"/>
        </w:rPr>
        <w:t xml:space="preserve"> 155, 158 y 162.</w:t>
      </w:r>
    </w:p>
  </w:footnote>
  <w:footnote w:id="39">
    <w:p w14:paraId="18E3BDEE" w14:textId="188C073F" w:rsidR="002D59E5" w:rsidRPr="00A2680F" w:rsidRDefault="002D59E5"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D7715C" w:rsidRPr="00A2680F">
        <w:rPr>
          <w:rFonts w:ascii="Garamond" w:hAnsi="Garamond"/>
        </w:rPr>
        <w:t xml:space="preserve">Gonzalo Aguirre Beltrán. </w:t>
      </w:r>
      <w:r w:rsidR="00D7715C" w:rsidRPr="00A2680F">
        <w:rPr>
          <w:rFonts w:ascii="Garamond" w:hAnsi="Garamond"/>
          <w:iCs/>
        </w:rPr>
        <w:t>La población negra de México. Estudio Etnohistórico</w:t>
      </w:r>
      <w:r w:rsidR="00D7715C" w:rsidRPr="00A2680F">
        <w:rPr>
          <w:rFonts w:ascii="Garamond" w:hAnsi="Garamond"/>
        </w:rPr>
        <w:t xml:space="preserve"> (México: Fondo de Cultura Económica, 1972)</w:t>
      </w:r>
      <w:r w:rsidRPr="00A2680F">
        <w:rPr>
          <w:rFonts w:ascii="Garamond" w:hAnsi="Garamond"/>
        </w:rPr>
        <w:t>, 186.</w:t>
      </w:r>
    </w:p>
  </w:footnote>
  <w:footnote w:id="40">
    <w:p w14:paraId="3D3C8C14" w14:textId="24EE2A61" w:rsidR="002D59E5" w:rsidRPr="00A2680F" w:rsidRDefault="002D59E5"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Pr="00A2680F">
        <w:rPr>
          <w:rFonts w:ascii="Garamond" w:hAnsi="Garamond"/>
        </w:rPr>
        <w:t>, 157.</w:t>
      </w:r>
    </w:p>
  </w:footnote>
  <w:footnote w:id="41">
    <w:p w14:paraId="234BB98F" w14:textId="5ECC4D9A" w:rsidR="002D59E5" w:rsidRPr="00A2680F" w:rsidRDefault="002D59E5"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89696C" w:rsidRPr="00A2680F">
        <w:rPr>
          <w:rFonts w:ascii="Garamond" w:hAnsi="Garamond"/>
        </w:rPr>
        <w:t xml:space="preserve">Georg Simmel. </w:t>
      </w:r>
      <w:r w:rsidR="0089696C" w:rsidRPr="00A2680F">
        <w:rPr>
          <w:rFonts w:ascii="Garamond" w:hAnsi="Garamond"/>
          <w:iCs/>
        </w:rPr>
        <w:t>Sobre la individualidad y las formas sociales</w:t>
      </w:r>
      <w:r w:rsidR="0089696C" w:rsidRPr="00A2680F">
        <w:rPr>
          <w:rFonts w:ascii="Garamond" w:hAnsi="Garamond"/>
        </w:rPr>
        <w:t>. Buenos Aires: Universidad Nacional de Quilmes, 2002</w:t>
      </w:r>
      <w:r w:rsidRPr="00A2680F">
        <w:rPr>
          <w:rFonts w:ascii="Garamond" w:hAnsi="Garamond"/>
        </w:rPr>
        <w:t>, 165.</w:t>
      </w:r>
    </w:p>
  </w:footnote>
  <w:footnote w:id="42">
    <w:p w14:paraId="47CE2D6A"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w:t>
      </w:r>
      <w:r w:rsidR="000F45D1" w:rsidRPr="00A2680F">
        <w:rPr>
          <w:rFonts w:ascii="Garamond" w:hAnsi="Garamond" w:cs="Times New Roman"/>
          <w:sz w:val="20"/>
          <w:szCs w:val="20"/>
        </w:rPr>
        <w:t xml:space="preserve"> f</w:t>
      </w:r>
      <w:r w:rsidRPr="00A2680F">
        <w:rPr>
          <w:rFonts w:ascii="Garamond" w:hAnsi="Garamond" w:cs="Times New Roman"/>
          <w:sz w:val="20"/>
          <w:szCs w:val="20"/>
        </w:rPr>
        <w:t>. 326v.</w:t>
      </w:r>
    </w:p>
  </w:footnote>
  <w:footnote w:id="43">
    <w:p w14:paraId="6CB565AD" w14:textId="6542D285" w:rsidR="002D59E5" w:rsidRPr="00A2680F" w:rsidRDefault="002D59E5"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00F77858" w:rsidRPr="00A2680F">
        <w:rPr>
          <w:rFonts w:ascii="Garamond" w:hAnsi="Garamond"/>
        </w:rPr>
        <w:t>,</w:t>
      </w:r>
      <w:r w:rsidRPr="00A2680F">
        <w:rPr>
          <w:rFonts w:ascii="Garamond" w:hAnsi="Garamond"/>
        </w:rPr>
        <w:t xml:space="preserve"> 170 y 186-187.</w:t>
      </w:r>
    </w:p>
  </w:footnote>
  <w:footnote w:id="44">
    <w:p w14:paraId="4BB1180B"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341r.</w:t>
      </w:r>
    </w:p>
  </w:footnote>
  <w:footnote w:id="45">
    <w:p w14:paraId="63F44459"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339r.</w:t>
      </w:r>
    </w:p>
  </w:footnote>
  <w:footnote w:id="46">
    <w:p w14:paraId="2CEEE8D1"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346r.</w:t>
      </w:r>
    </w:p>
  </w:footnote>
  <w:footnote w:id="47">
    <w:p w14:paraId="261D0301" w14:textId="09C506A0"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Pr="00A2680F">
        <w:rPr>
          <w:rFonts w:ascii="Garamond" w:hAnsi="Garamond"/>
        </w:rPr>
        <w:t>, 240-241 y 244-246.</w:t>
      </w:r>
    </w:p>
  </w:footnote>
  <w:footnote w:id="48">
    <w:p w14:paraId="646675A3"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343v.</w:t>
      </w:r>
    </w:p>
  </w:footnote>
  <w:footnote w:id="49">
    <w:p w14:paraId="49BBD4A4"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327r.</w:t>
      </w:r>
    </w:p>
  </w:footnote>
  <w:footnote w:id="50">
    <w:p w14:paraId="37E7A934" w14:textId="03FD66B4"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5F5B" w:rsidRPr="00A2680F">
        <w:rPr>
          <w:rFonts w:ascii="Garamond" w:hAnsi="Garamond"/>
        </w:rPr>
        <w:t xml:space="preserve">Irene </w:t>
      </w:r>
      <w:r w:rsidR="00F77858" w:rsidRPr="00A2680F">
        <w:rPr>
          <w:rFonts w:ascii="Garamond" w:hAnsi="Garamond"/>
        </w:rPr>
        <w:t>Fattacciu. “Il corpo della madre schiava, i corpi dei figli. Forme di resistenza alla schiavitù nell’America del XIX secolo”. Storia delle donne, No. 5 (2009)</w:t>
      </w:r>
      <w:r w:rsidR="00F75F5B" w:rsidRPr="00A2680F">
        <w:rPr>
          <w:rFonts w:ascii="Garamond" w:hAnsi="Garamond"/>
        </w:rPr>
        <w:t>:</w:t>
      </w:r>
      <w:r w:rsidR="00F77858" w:rsidRPr="00A2680F">
        <w:rPr>
          <w:rFonts w:ascii="Garamond" w:hAnsi="Garamond"/>
        </w:rPr>
        <w:t xml:space="preserve"> 177. </w:t>
      </w:r>
      <w:hyperlink r:id="rId4" w:history="1">
        <w:r w:rsidR="00F77858" w:rsidRPr="00A2680F">
          <w:rPr>
            <w:rStyle w:val="Hipervnculo"/>
            <w:rFonts w:ascii="Garamond" w:hAnsi="Garamond"/>
          </w:rPr>
          <w:t>http://www.fupress.net/index.php/sdd/article/view/8445/7923</w:t>
        </w:r>
      </w:hyperlink>
      <w:r w:rsidRPr="00A2680F">
        <w:rPr>
          <w:rFonts w:ascii="Garamond" w:hAnsi="Garamond"/>
        </w:rPr>
        <w:t>.</w:t>
      </w:r>
    </w:p>
  </w:footnote>
  <w:footnote w:id="51">
    <w:p w14:paraId="0DEAB575" w14:textId="3B43616E" w:rsidR="0026572D" w:rsidRPr="00A2680F" w:rsidRDefault="0026572D" w:rsidP="00A2680F">
      <w:pPr>
        <w:pStyle w:val="Textonotapie"/>
        <w:jc w:val="both"/>
        <w:rPr>
          <w:rFonts w:ascii="Garamond" w:hAnsi="Garamond"/>
          <w:lang w:val="en-US"/>
        </w:rPr>
      </w:pPr>
      <w:r w:rsidRPr="00A2680F">
        <w:rPr>
          <w:rStyle w:val="Refdenotaalpie"/>
          <w:rFonts w:ascii="Garamond" w:hAnsi="Garamond"/>
        </w:rPr>
        <w:footnoteRef/>
      </w:r>
      <w:r w:rsidRPr="00A2680F">
        <w:rPr>
          <w:rFonts w:ascii="Garamond" w:hAnsi="Garamond"/>
        </w:rPr>
        <w:t xml:space="preserve"> </w:t>
      </w:r>
      <w:r w:rsidR="00CF47A7" w:rsidRPr="00A2680F">
        <w:rPr>
          <w:rFonts w:ascii="Garamond" w:hAnsi="Garamond"/>
        </w:rPr>
        <w:t xml:space="preserve">Renée Soulodre-La France. “‘Por el amor!’. </w:t>
      </w:r>
      <w:r w:rsidR="00CF47A7" w:rsidRPr="00A2680F">
        <w:rPr>
          <w:rFonts w:ascii="Garamond" w:hAnsi="Garamond"/>
          <w:lang w:val="en-US"/>
        </w:rPr>
        <w:t>Child Killing in Colonial Nueva Granada”</w:t>
      </w:r>
      <w:r w:rsidRPr="00A2680F">
        <w:rPr>
          <w:rFonts w:ascii="Garamond" w:hAnsi="Garamond"/>
          <w:lang w:val="en-US"/>
        </w:rPr>
        <w:t>, 5.</w:t>
      </w:r>
    </w:p>
  </w:footnote>
  <w:footnote w:id="52">
    <w:p w14:paraId="50E0FFA5" w14:textId="201B2F73"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334495" w:rsidRPr="00A2680F">
        <w:rPr>
          <w:rFonts w:ascii="Garamond" w:hAnsi="Garamond"/>
        </w:rPr>
        <w:t>Jessica Spicker. “El cuerpo femenino en cautiverio”</w:t>
      </w:r>
      <w:r w:rsidRPr="00A2680F">
        <w:rPr>
          <w:rFonts w:ascii="Garamond" w:hAnsi="Garamond"/>
        </w:rPr>
        <w:t>.</w:t>
      </w:r>
    </w:p>
  </w:footnote>
  <w:footnote w:id="53">
    <w:p w14:paraId="03A1CAE8" w14:textId="6E239E8A"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83CCB" w:rsidRPr="00A2680F">
        <w:rPr>
          <w:rFonts w:ascii="Garamond" w:hAnsi="Garamond"/>
        </w:rPr>
        <w:t>Martha Herrera Ángel. “En un rincón de ese imperio en que no se ocultaba el sol”</w:t>
      </w:r>
      <w:r w:rsidR="0089696C" w:rsidRPr="00A2680F">
        <w:rPr>
          <w:rFonts w:ascii="Garamond" w:hAnsi="Garamond"/>
        </w:rPr>
        <w:t>:</w:t>
      </w:r>
      <w:r w:rsidRPr="00A2680F">
        <w:rPr>
          <w:rFonts w:ascii="Garamond" w:hAnsi="Garamond"/>
        </w:rPr>
        <w:t xml:space="preserve"> 40-41.</w:t>
      </w:r>
    </w:p>
  </w:footnote>
  <w:footnote w:id="54">
    <w:p w14:paraId="45D97D08"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326r-v.</w:t>
      </w:r>
    </w:p>
  </w:footnote>
  <w:footnote w:id="55">
    <w:p w14:paraId="159320B5" w14:textId="6309ADFD"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83CCB" w:rsidRPr="00A2680F">
        <w:rPr>
          <w:rFonts w:ascii="Garamond" w:hAnsi="Garamond"/>
        </w:rPr>
        <w:t xml:space="preserve">Renée Soulodre-La France. “‘Por el amor!’. </w:t>
      </w:r>
      <w:r w:rsidR="00483CCB" w:rsidRPr="00A2680F">
        <w:rPr>
          <w:rFonts w:ascii="Garamond" w:hAnsi="Garamond"/>
          <w:lang w:val="en-US"/>
        </w:rPr>
        <w:t>Child Killing in Colonial Nueva Granada”,</w:t>
      </w:r>
      <w:r w:rsidRPr="00A2680F">
        <w:rPr>
          <w:rFonts w:ascii="Garamond" w:hAnsi="Garamond"/>
          <w:lang w:val="en-US"/>
        </w:rPr>
        <w:t xml:space="preserve"> 5; </w:t>
      </w:r>
      <w:r w:rsidR="00334495" w:rsidRPr="00A2680F">
        <w:rPr>
          <w:rFonts w:ascii="Garamond" w:hAnsi="Garamond"/>
          <w:lang w:val="en-US"/>
        </w:rPr>
        <w:t xml:space="preserve">Jessica Spicker. </w:t>
      </w:r>
      <w:r w:rsidR="00334495" w:rsidRPr="00A2680F">
        <w:rPr>
          <w:rFonts w:ascii="Garamond" w:hAnsi="Garamond"/>
        </w:rPr>
        <w:t>“El cuerpo femenino en cautiverio”</w:t>
      </w:r>
      <w:r w:rsidRPr="00A2680F">
        <w:rPr>
          <w:rFonts w:ascii="Garamond" w:hAnsi="Garamond"/>
        </w:rPr>
        <w:t xml:space="preserve">; </w:t>
      </w:r>
      <w:r w:rsidR="00F75F5B" w:rsidRPr="00A2680F">
        <w:rPr>
          <w:rFonts w:ascii="Garamond" w:hAnsi="Garamond"/>
        </w:rPr>
        <w:t>Irene Fattacciu. “Il corpo della madre schiava, i corpi dei figli”:</w:t>
      </w:r>
      <w:r w:rsidRPr="00A2680F">
        <w:rPr>
          <w:rFonts w:ascii="Garamond" w:hAnsi="Garamond"/>
        </w:rPr>
        <w:t xml:space="preserve"> 179;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0047279F" w:rsidRPr="00A2680F">
        <w:rPr>
          <w:rFonts w:ascii="Garamond" w:hAnsi="Garamond"/>
        </w:rPr>
        <w:t>,</w:t>
      </w:r>
      <w:r w:rsidRPr="00A2680F">
        <w:rPr>
          <w:rFonts w:ascii="Garamond" w:hAnsi="Garamond"/>
        </w:rPr>
        <w:t xml:space="preserve"> 158 y 162.</w:t>
      </w:r>
    </w:p>
  </w:footnote>
  <w:footnote w:id="56">
    <w:p w14:paraId="57926DEA" w14:textId="499FE3AF"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83CCB" w:rsidRPr="00A2680F">
        <w:rPr>
          <w:rFonts w:ascii="Garamond" w:hAnsi="Garamond"/>
        </w:rPr>
        <w:t>Renée Soulodre-La France. “‘Por el amor!’. Child Killing in Colonial Nueva Granada”,</w:t>
      </w:r>
      <w:r w:rsidRPr="00A2680F">
        <w:rPr>
          <w:rFonts w:ascii="Garamond" w:hAnsi="Garamond"/>
        </w:rPr>
        <w:t xml:space="preserve"> 2; </w:t>
      </w:r>
      <w:r w:rsidR="00856405" w:rsidRPr="00A2680F">
        <w:rPr>
          <w:rFonts w:ascii="Garamond" w:hAnsi="Garamond"/>
        </w:rPr>
        <w:t>Irene Fattacciu. “Il corpo della madre schiava, i corpi dei figli”:</w:t>
      </w:r>
      <w:r w:rsidRPr="00A2680F">
        <w:rPr>
          <w:rFonts w:ascii="Garamond" w:hAnsi="Garamond"/>
        </w:rPr>
        <w:t xml:space="preserve"> 175;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0047279F" w:rsidRPr="00A2680F">
        <w:rPr>
          <w:rFonts w:ascii="Garamond" w:hAnsi="Garamond"/>
        </w:rPr>
        <w:t xml:space="preserve"> </w:t>
      </w:r>
      <w:r w:rsidRPr="00A2680F">
        <w:rPr>
          <w:rFonts w:ascii="Garamond" w:hAnsi="Garamond"/>
        </w:rPr>
        <w:t>158.</w:t>
      </w:r>
    </w:p>
  </w:footnote>
  <w:footnote w:id="57">
    <w:p w14:paraId="1B0AEBB4" w14:textId="4A682E18" w:rsidR="0026572D" w:rsidRPr="00A2680F" w:rsidRDefault="0026572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77858" w:rsidRPr="00A2680F">
        <w:rPr>
          <w:rFonts w:ascii="Garamond" w:hAnsi="Garamond"/>
        </w:rPr>
        <w:t xml:space="preserve">James Scott. </w:t>
      </w:r>
      <w:r w:rsidR="00F77858" w:rsidRPr="00A2680F">
        <w:rPr>
          <w:rFonts w:ascii="Garamond" w:hAnsi="Garamond"/>
          <w:iCs/>
        </w:rPr>
        <w:t>Los dominados y el arte de la Resistencia</w:t>
      </w:r>
      <w:r w:rsidRPr="00A2680F">
        <w:rPr>
          <w:rFonts w:ascii="Garamond" w:hAnsi="Garamond"/>
        </w:rPr>
        <w:t>, 255.</w:t>
      </w:r>
    </w:p>
  </w:footnote>
  <w:footnote w:id="58">
    <w:p w14:paraId="439E737F" w14:textId="77777777" w:rsidR="00454BD6" w:rsidRPr="00A2680F" w:rsidRDefault="00454BD6"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320r.</w:t>
      </w:r>
    </w:p>
  </w:footnote>
  <w:footnote w:id="59">
    <w:p w14:paraId="6BDA7BA1" w14:textId="22EDF39B" w:rsidR="005B70DB" w:rsidRPr="00A2680F" w:rsidRDefault="005B70DB"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3676E0" w:rsidRPr="00A2680F">
        <w:rPr>
          <w:rFonts w:ascii="Garamond" w:hAnsi="Garamond"/>
        </w:rPr>
        <w:t>María Eugenia Chaves. María Chiquinquirá Díaz: una esclava del siglo XVIII. Acerca de las identidades de amo y esclavo en el puerto colonial de Guayaquil (Guayaquil: Archivo Histórico del Guayas, 1998)</w:t>
      </w:r>
      <w:r w:rsidRPr="00A2680F">
        <w:rPr>
          <w:rFonts w:ascii="Garamond" w:hAnsi="Garamond"/>
        </w:rPr>
        <w:t xml:space="preserve">, 53; </w:t>
      </w:r>
      <w:r w:rsidR="003676E0" w:rsidRPr="00A2680F">
        <w:rPr>
          <w:rFonts w:ascii="Garamond" w:hAnsi="Garamond"/>
        </w:rPr>
        <w:t>María Eugenia Chaves. “Esclavizados, cimarrones y bandidos”</w:t>
      </w:r>
      <w:r w:rsidR="0089696C" w:rsidRPr="00A2680F">
        <w:rPr>
          <w:rFonts w:ascii="Garamond" w:hAnsi="Garamond"/>
        </w:rPr>
        <w:t>:</w:t>
      </w:r>
      <w:r w:rsidRPr="00A2680F">
        <w:rPr>
          <w:rFonts w:ascii="Garamond" w:hAnsi="Garamond"/>
        </w:rPr>
        <w:t xml:space="preserve"> 133-134 y 146.</w:t>
      </w:r>
    </w:p>
  </w:footnote>
  <w:footnote w:id="60">
    <w:p w14:paraId="6957F0A9" w14:textId="26237735" w:rsidR="005B70DB" w:rsidRPr="00A2680F" w:rsidRDefault="005B70DB"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89696C" w:rsidRPr="00A2680F">
        <w:rPr>
          <w:rFonts w:ascii="Garamond" w:hAnsi="Garamond"/>
        </w:rPr>
        <w:t xml:space="preserve">Georg Simmel. </w:t>
      </w:r>
      <w:r w:rsidR="0089696C" w:rsidRPr="00A2680F">
        <w:rPr>
          <w:rFonts w:ascii="Garamond" w:hAnsi="Garamond"/>
          <w:iCs/>
        </w:rPr>
        <w:t>Sobre la individualidad y las formas sociales</w:t>
      </w:r>
      <w:r w:rsidRPr="00A2680F">
        <w:rPr>
          <w:rFonts w:ascii="Garamond" w:hAnsi="Garamond"/>
        </w:rPr>
        <w:t>, 166-167.</w:t>
      </w:r>
    </w:p>
  </w:footnote>
  <w:footnote w:id="61">
    <w:p w14:paraId="658EF3EF" w14:textId="458D58D7" w:rsidR="002632C8" w:rsidRPr="00A2680F" w:rsidRDefault="002632C8"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Sobre las vías de difusión de saberes jurídicos a los sectores esclavos, consultar</w:t>
      </w:r>
      <w:r w:rsidR="00B36602" w:rsidRPr="00A2680F">
        <w:rPr>
          <w:rFonts w:ascii="Garamond" w:hAnsi="Garamond"/>
        </w:rPr>
        <w:t xml:space="preserve"> Carolina</w:t>
      </w:r>
      <w:r w:rsidRPr="00A2680F">
        <w:rPr>
          <w:rFonts w:ascii="Garamond" w:hAnsi="Garamond"/>
        </w:rPr>
        <w:t xml:space="preserve"> </w:t>
      </w:r>
      <w:r w:rsidR="0089696C" w:rsidRPr="00A2680F">
        <w:rPr>
          <w:rFonts w:ascii="Garamond" w:hAnsi="Garamond"/>
        </w:rPr>
        <w:t xml:space="preserve">González. “El abogado y procurador de pobres: la representación de esclavos y esclavas a fines de la Colonia y principios de la República”. </w:t>
      </w:r>
      <w:r w:rsidR="0089696C" w:rsidRPr="00A2680F">
        <w:rPr>
          <w:rFonts w:ascii="Garamond" w:hAnsi="Garamond"/>
          <w:iCs/>
          <w:lang w:val="pt-PT"/>
        </w:rPr>
        <w:t>Sudhistoria: Revista digital en estudios desde el sur No. 5</w:t>
      </w:r>
      <w:r w:rsidR="0089696C" w:rsidRPr="00A2680F">
        <w:rPr>
          <w:rFonts w:ascii="Garamond" w:hAnsi="Garamond"/>
          <w:lang w:val="pt-PT"/>
        </w:rPr>
        <w:t xml:space="preserve"> </w:t>
      </w:r>
      <w:r w:rsidR="0089696C" w:rsidRPr="00A2680F">
        <w:rPr>
          <w:rFonts w:ascii="Garamond" w:hAnsi="Garamond"/>
        </w:rPr>
        <w:t>(julio-diciembre 2012):</w:t>
      </w:r>
      <w:r w:rsidR="0089696C" w:rsidRPr="00A2680F">
        <w:rPr>
          <w:rFonts w:ascii="Garamond" w:hAnsi="Garamond"/>
          <w:lang w:val="pt-PT"/>
        </w:rPr>
        <w:t xml:space="preserve"> 81-98. </w:t>
      </w:r>
      <w:hyperlink r:id="rId5" w:history="1">
        <w:r w:rsidR="0089696C" w:rsidRPr="00A2680F">
          <w:rPr>
            <w:rStyle w:val="Hipervnculo"/>
            <w:rFonts w:ascii="Garamond" w:hAnsi="Garamond"/>
            <w:lang w:val="pt-PT"/>
          </w:rPr>
          <w:t>https://dialnet.unirioja.es/servlet/articulo?codigo=4095518</w:t>
        </w:r>
      </w:hyperlink>
      <w:r w:rsidRPr="00A2680F">
        <w:rPr>
          <w:rFonts w:ascii="Garamond" w:hAnsi="Garamond"/>
        </w:rPr>
        <w:t xml:space="preserve">  </w:t>
      </w:r>
    </w:p>
  </w:footnote>
  <w:footnote w:id="62">
    <w:p w14:paraId="7EC56A7D" w14:textId="5CCFE2E5" w:rsidR="0009449C" w:rsidRPr="00A2680F" w:rsidRDefault="0009449C"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B36602" w:rsidRPr="00A2680F">
        <w:rPr>
          <w:rFonts w:ascii="Garamond" w:hAnsi="Garamond"/>
        </w:rPr>
        <w:t>Carolina González. “El abogado y procurador de pobres”:</w:t>
      </w:r>
      <w:r w:rsidRPr="00A2680F">
        <w:rPr>
          <w:rFonts w:ascii="Garamond" w:hAnsi="Garamond"/>
        </w:rPr>
        <w:t xml:space="preserve"> pp. 86-97; </w:t>
      </w:r>
      <w:r w:rsidR="00334495" w:rsidRPr="00A2680F">
        <w:rPr>
          <w:rFonts w:ascii="Garamond" w:hAnsi="Garamond"/>
        </w:rPr>
        <w:t>Jessica Spicker. “El cuerpo femenino en cautiverio”</w:t>
      </w:r>
      <w:r w:rsidRPr="00A2680F">
        <w:rPr>
          <w:rFonts w:ascii="Garamond" w:hAnsi="Garamond"/>
        </w:rPr>
        <w:t>;</w:t>
      </w:r>
      <w:r w:rsidR="00B36602" w:rsidRPr="00A2680F">
        <w:rPr>
          <w:rFonts w:ascii="Garamond" w:hAnsi="Garamond"/>
        </w:rPr>
        <w:t xml:space="preserve"> Úrsula</w:t>
      </w:r>
      <w:r w:rsidRPr="00A2680F">
        <w:rPr>
          <w:rFonts w:ascii="Garamond" w:hAnsi="Garamond"/>
        </w:rPr>
        <w:t xml:space="preserve"> </w:t>
      </w:r>
      <w:r w:rsidR="00B36602" w:rsidRPr="00A2680F">
        <w:rPr>
          <w:rFonts w:ascii="Garamond" w:hAnsi="Garamond"/>
        </w:rPr>
        <w:t xml:space="preserve">Camba Ludlow. </w:t>
      </w:r>
      <w:r w:rsidR="00B36602" w:rsidRPr="00A2680F">
        <w:rPr>
          <w:rFonts w:ascii="Garamond" w:hAnsi="Garamond"/>
          <w:iCs/>
        </w:rPr>
        <w:t>Imaginarios ambiguos, realidades contradictorias: conductas y representaciones de los negros y mulatos novohispanos. Siglos XVI y XVII</w:t>
      </w:r>
      <w:r w:rsidR="00B36602" w:rsidRPr="00A2680F">
        <w:rPr>
          <w:rFonts w:ascii="Garamond" w:hAnsi="Garamond"/>
        </w:rPr>
        <w:t xml:space="preserve"> (México: El Colegio de México, 2008)</w:t>
      </w:r>
      <w:r w:rsidRPr="00A2680F">
        <w:rPr>
          <w:rFonts w:ascii="Garamond" w:hAnsi="Garamond"/>
        </w:rPr>
        <w:t>, 83, 87 y 81-92.</w:t>
      </w:r>
    </w:p>
  </w:footnote>
  <w:footnote w:id="63">
    <w:p w14:paraId="08EBB391" w14:textId="5E12770F" w:rsidR="0009449C" w:rsidRPr="00A2680F" w:rsidRDefault="0009449C"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F97E9C" w:rsidRPr="00A2680F">
        <w:rPr>
          <w:rFonts w:ascii="Garamond" w:hAnsi="Garamond"/>
        </w:rPr>
        <w:t>Marcela Echeverri. “Conflicto y hegemonía en el suroccidente de la Nueva Granada”</w:t>
      </w:r>
      <w:r w:rsidR="001E3C15" w:rsidRPr="00A2680F">
        <w:rPr>
          <w:rFonts w:ascii="Garamond" w:hAnsi="Garamond"/>
        </w:rPr>
        <w:t>:</w:t>
      </w:r>
      <w:r w:rsidRPr="00A2680F">
        <w:rPr>
          <w:rFonts w:ascii="Garamond" w:hAnsi="Garamond"/>
        </w:rPr>
        <w:t xml:space="preserve"> 364-365.</w:t>
      </w:r>
    </w:p>
  </w:footnote>
  <w:footnote w:id="64">
    <w:p w14:paraId="190E748D" w14:textId="7E55D1EC" w:rsidR="007F679D" w:rsidRPr="00A2680F" w:rsidRDefault="007F679D"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Pr="00A2680F">
        <w:rPr>
          <w:rFonts w:ascii="Garamond" w:hAnsi="Garamond"/>
        </w:rPr>
        <w:t>, 160.</w:t>
      </w:r>
    </w:p>
  </w:footnote>
  <w:footnote w:id="65">
    <w:p w14:paraId="126D9A1F" w14:textId="77777777" w:rsidR="008D5DB3" w:rsidRPr="00A2680F" w:rsidRDefault="008D5DB3"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ff. 376v-377r.</w:t>
      </w:r>
    </w:p>
  </w:footnote>
  <w:footnote w:id="66">
    <w:p w14:paraId="27C85AF9" w14:textId="1324D3D2" w:rsidR="00E10594" w:rsidRPr="00A2680F" w:rsidRDefault="00E10594"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lang w:val="en-US"/>
        </w:rPr>
        <w:t xml:space="preserve"> </w:t>
      </w:r>
      <w:r w:rsidR="001E3C15" w:rsidRPr="00A2680F">
        <w:rPr>
          <w:rFonts w:ascii="Garamond" w:hAnsi="Garamond"/>
          <w:lang w:val="en-US"/>
        </w:rPr>
        <w:t xml:space="preserve">David L. Chandler. “Family bonds and the bondsman: The Slave Family in Colonial Colombia”. </w:t>
      </w:r>
      <w:r w:rsidR="001E3C15" w:rsidRPr="00A2680F">
        <w:rPr>
          <w:rFonts w:ascii="Garamond" w:hAnsi="Garamond"/>
          <w:iCs/>
        </w:rPr>
        <w:t>Latin American Research Review</w:t>
      </w:r>
      <w:r w:rsidR="001E3C15" w:rsidRPr="00A2680F">
        <w:rPr>
          <w:rFonts w:ascii="Garamond" w:hAnsi="Garamond"/>
        </w:rPr>
        <w:t>, XVI 2 (1981):</w:t>
      </w:r>
      <w:r w:rsidRPr="00A2680F">
        <w:rPr>
          <w:rFonts w:ascii="Garamond" w:hAnsi="Garamond"/>
        </w:rPr>
        <w:t xml:space="preserve"> 119 y 121; </w:t>
      </w:r>
      <w:r w:rsidR="003676E0" w:rsidRPr="00A2680F">
        <w:rPr>
          <w:rFonts w:ascii="Garamond" w:hAnsi="Garamond"/>
        </w:rPr>
        <w:t>María Eugenia Chaves. María Chiquinquirá Díaz: una esclava del siglo XVIII</w:t>
      </w:r>
      <w:r w:rsidRPr="00A2680F">
        <w:rPr>
          <w:rFonts w:ascii="Garamond" w:hAnsi="Garamond"/>
        </w:rPr>
        <w:t>,</w:t>
      </w:r>
      <w:r w:rsidR="003676E0" w:rsidRPr="00A2680F">
        <w:rPr>
          <w:rFonts w:ascii="Garamond" w:hAnsi="Garamond"/>
        </w:rPr>
        <w:t xml:space="preserve"> </w:t>
      </w:r>
      <w:r w:rsidRPr="00A2680F">
        <w:rPr>
          <w:rFonts w:ascii="Garamond" w:hAnsi="Garamond"/>
        </w:rPr>
        <w:t>74-75, 107 y 117.</w:t>
      </w:r>
    </w:p>
  </w:footnote>
  <w:footnote w:id="67">
    <w:p w14:paraId="2B7A965C" w14:textId="1E499078" w:rsidR="00E10594" w:rsidRPr="00A2680F" w:rsidRDefault="00E10594"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83CCB" w:rsidRPr="00A2680F">
        <w:rPr>
          <w:rFonts w:ascii="Garamond" w:hAnsi="Garamond"/>
        </w:rPr>
        <w:t xml:space="preserve">Renée Soulodre-La France. “‘Por el amor!’. Child Killing in Colonial Nueva Granada”, </w:t>
      </w:r>
      <w:r w:rsidRPr="00A2680F">
        <w:rPr>
          <w:rFonts w:ascii="Garamond" w:hAnsi="Garamond"/>
        </w:rPr>
        <w:t xml:space="preserve">3; </w:t>
      </w:r>
      <w:r w:rsidR="007D4FEA" w:rsidRPr="00A2680F">
        <w:rPr>
          <w:rFonts w:ascii="Garamond" w:hAnsi="Garamond"/>
        </w:rPr>
        <w:t>Laura Alejandra Buenaventura Gómez. Tentativas del “enemigo malo”. Relaciones ilícitas e infanticidios en la Provincia de Antioquia (Nueva Granada) 1765-1803. (Tesis de grado, Universidad Colegio Mayor de Nuestra Señora del Rosario, 2015)</w:t>
      </w:r>
      <w:r w:rsidRPr="00A2680F">
        <w:rPr>
          <w:rFonts w:ascii="Garamond" w:hAnsi="Garamond"/>
        </w:rPr>
        <w:t xml:space="preserve">, 59-60 y 63; </w:t>
      </w:r>
      <w:r w:rsidR="0047279F" w:rsidRPr="00A2680F">
        <w:rPr>
          <w:rFonts w:ascii="Garamond" w:hAnsi="Garamond"/>
        </w:rPr>
        <w:t xml:space="preserve">Virginia Gutiérrez de Pineda y Roberto Pineda Giraldo. </w:t>
      </w:r>
      <w:r w:rsidR="0047279F" w:rsidRPr="00A2680F">
        <w:rPr>
          <w:rFonts w:ascii="Garamond" w:hAnsi="Garamond"/>
          <w:iCs/>
        </w:rPr>
        <w:t>Miscegenación y cultura en la Colombia colonial,</w:t>
      </w:r>
      <w:r w:rsidR="0047279F" w:rsidRPr="00A2680F">
        <w:rPr>
          <w:rFonts w:ascii="Garamond" w:hAnsi="Garamond"/>
        </w:rPr>
        <w:t xml:space="preserve"> </w:t>
      </w:r>
      <w:r w:rsidRPr="00A2680F">
        <w:rPr>
          <w:rFonts w:ascii="Garamond" w:hAnsi="Garamond"/>
        </w:rPr>
        <w:t>164-165.</w:t>
      </w:r>
    </w:p>
  </w:footnote>
  <w:footnote w:id="68">
    <w:p w14:paraId="11BE5A40" w14:textId="77777777" w:rsidR="00F5621D" w:rsidRPr="00A2680F" w:rsidRDefault="00F5621D"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333r.</w:t>
      </w:r>
    </w:p>
  </w:footnote>
  <w:footnote w:id="69">
    <w:p w14:paraId="3D33200B" w14:textId="0C0F0512" w:rsidR="00E10594" w:rsidRPr="00A2680F" w:rsidRDefault="00E10594"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3676E0" w:rsidRPr="00A2680F">
        <w:rPr>
          <w:rFonts w:ascii="Garamond" w:hAnsi="Garamond"/>
        </w:rPr>
        <w:t>María Eugenia Chaves. María Chiquinquirá Díaz: una esclava del siglo XVIII</w:t>
      </w:r>
      <w:r w:rsidRPr="00A2680F">
        <w:rPr>
          <w:rFonts w:ascii="Garamond" w:hAnsi="Garamond"/>
        </w:rPr>
        <w:t>, 108-110.</w:t>
      </w:r>
    </w:p>
  </w:footnote>
  <w:footnote w:id="70">
    <w:p w14:paraId="48F2E66C" w14:textId="09CCC8AB" w:rsidR="00E10594" w:rsidRPr="00A2680F" w:rsidRDefault="00E10594"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9D2E2B" w:rsidRPr="00A2680F">
        <w:rPr>
          <w:rFonts w:ascii="Garamond" w:hAnsi="Garamond"/>
        </w:rPr>
        <w:t xml:space="preserve">María Alba Pastor. Crisis y recomposición social. Nueva España en el tránsito del siglo XVI al XVII </w:t>
      </w:r>
      <w:r w:rsidR="005C09E5" w:rsidRPr="00A2680F">
        <w:rPr>
          <w:rFonts w:ascii="Garamond" w:hAnsi="Garamond"/>
        </w:rPr>
        <w:t>(</w:t>
      </w:r>
      <w:r w:rsidR="009D2E2B" w:rsidRPr="00A2680F">
        <w:rPr>
          <w:rFonts w:ascii="Garamond" w:hAnsi="Garamond"/>
        </w:rPr>
        <w:t>México: Fondo de Cultura Económica, 1999</w:t>
      </w:r>
      <w:r w:rsidR="005C09E5" w:rsidRPr="00A2680F">
        <w:rPr>
          <w:rFonts w:ascii="Garamond" w:hAnsi="Garamond"/>
        </w:rPr>
        <w:t>)</w:t>
      </w:r>
      <w:r w:rsidRPr="00A2680F">
        <w:rPr>
          <w:rFonts w:ascii="Garamond" w:hAnsi="Garamond"/>
        </w:rPr>
        <w:t xml:space="preserve">, 221; </w:t>
      </w:r>
      <w:r w:rsidR="005C09E5" w:rsidRPr="00A2680F">
        <w:rPr>
          <w:rFonts w:ascii="Garamond" w:hAnsi="Garamond"/>
        </w:rPr>
        <w:t xml:space="preserve">Verónica Undurraga Schüler. </w:t>
      </w:r>
      <w:r w:rsidR="005C09E5" w:rsidRPr="00A2680F">
        <w:rPr>
          <w:rFonts w:ascii="Garamond" w:hAnsi="Garamond"/>
          <w:iCs/>
        </w:rPr>
        <w:t>Los rostros del honor. Normas culturales y estrategias de promoción social en Chile colonial, siglo XVIII</w:t>
      </w:r>
      <w:r w:rsidR="005C09E5" w:rsidRPr="00A2680F">
        <w:rPr>
          <w:rFonts w:ascii="Garamond" w:hAnsi="Garamond"/>
        </w:rPr>
        <w:t xml:space="preserve"> (Santiago: Dirección de Biblioteca, Archivos y Museos, 2012)</w:t>
      </w:r>
      <w:r w:rsidRPr="00A2680F">
        <w:rPr>
          <w:rFonts w:ascii="Garamond" w:hAnsi="Garamond"/>
        </w:rPr>
        <w:t>, 200-211.</w:t>
      </w:r>
    </w:p>
  </w:footnote>
  <w:footnote w:id="71">
    <w:p w14:paraId="09A714DC" w14:textId="2C8ED693" w:rsidR="00E10594" w:rsidRPr="00A2680F" w:rsidRDefault="00E10594"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A110B" w:rsidRPr="00A2680F">
        <w:rPr>
          <w:rFonts w:ascii="Garamond" w:hAnsi="Garamond"/>
        </w:rPr>
        <w:t xml:space="preserve">Verónica Undurraga. </w:t>
      </w:r>
      <w:r w:rsidR="004A110B" w:rsidRPr="00A2680F">
        <w:rPr>
          <w:rFonts w:ascii="Garamond" w:hAnsi="Garamond"/>
          <w:iCs/>
        </w:rPr>
        <w:t>Los rostros del honor</w:t>
      </w:r>
      <w:r w:rsidRPr="00A2680F">
        <w:rPr>
          <w:rFonts w:ascii="Garamond" w:hAnsi="Garamond"/>
        </w:rPr>
        <w:t>, 211.</w:t>
      </w:r>
    </w:p>
  </w:footnote>
  <w:footnote w:id="72">
    <w:p w14:paraId="4E990B90" w14:textId="77777777" w:rsidR="00C7033B" w:rsidRPr="00A2680F" w:rsidRDefault="00C7033B"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w:t>
      </w:r>
      <w:r w:rsidR="00E42AFB" w:rsidRPr="00A2680F">
        <w:rPr>
          <w:rFonts w:ascii="Garamond" w:hAnsi="Garamond" w:cs="Times New Roman"/>
          <w:sz w:val="20"/>
          <w:szCs w:val="20"/>
        </w:rPr>
        <w:t>f</w:t>
      </w:r>
      <w:r w:rsidRPr="00A2680F">
        <w:rPr>
          <w:rFonts w:ascii="Garamond" w:hAnsi="Garamond" w:cs="Times New Roman"/>
          <w:sz w:val="20"/>
          <w:szCs w:val="20"/>
        </w:rPr>
        <w:t>. 334r-</w:t>
      </w:r>
      <w:r w:rsidR="000839BA" w:rsidRPr="00A2680F">
        <w:rPr>
          <w:rFonts w:ascii="Garamond" w:hAnsi="Garamond" w:cs="Times New Roman"/>
          <w:sz w:val="20"/>
          <w:szCs w:val="20"/>
        </w:rPr>
        <w:t>v</w:t>
      </w:r>
      <w:r w:rsidRPr="00A2680F">
        <w:rPr>
          <w:rFonts w:ascii="Garamond" w:hAnsi="Garamond" w:cs="Times New Roman"/>
          <w:sz w:val="20"/>
          <w:szCs w:val="20"/>
        </w:rPr>
        <w:t>.</w:t>
      </w:r>
    </w:p>
  </w:footnote>
  <w:footnote w:id="73">
    <w:p w14:paraId="605D63A2" w14:textId="77777777" w:rsidR="000839BA" w:rsidRPr="00A2680F" w:rsidRDefault="000839BA"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338v.</w:t>
      </w:r>
    </w:p>
  </w:footnote>
  <w:footnote w:id="74">
    <w:p w14:paraId="2D1046BC" w14:textId="05BD7AA6" w:rsidR="00E10594" w:rsidRPr="00A2680F" w:rsidRDefault="00E10594" w:rsidP="00A2680F">
      <w:pPr>
        <w:pStyle w:val="Textonotapie"/>
        <w:jc w:val="both"/>
        <w:rPr>
          <w:rFonts w:ascii="Garamond" w:hAnsi="Garamond"/>
        </w:rPr>
      </w:pPr>
      <w:r w:rsidRPr="00A2680F">
        <w:rPr>
          <w:rStyle w:val="Refdenotaalpie"/>
          <w:rFonts w:ascii="Garamond" w:hAnsi="Garamond"/>
        </w:rPr>
        <w:footnoteRef/>
      </w:r>
      <w:r w:rsidRPr="00A2680F">
        <w:rPr>
          <w:rFonts w:ascii="Garamond" w:hAnsi="Garamond"/>
        </w:rPr>
        <w:t xml:space="preserve"> </w:t>
      </w:r>
      <w:r w:rsidR="004A110B" w:rsidRPr="00A2680F">
        <w:rPr>
          <w:rFonts w:ascii="Garamond" w:hAnsi="Garamond"/>
        </w:rPr>
        <w:t xml:space="preserve">Verónica Undurraga. </w:t>
      </w:r>
      <w:r w:rsidR="004A110B" w:rsidRPr="00A2680F">
        <w:rPr>
          <w:rFonts w:ascii="Garamond" w:hAnsi="Garamond"/>
          <w:iCs/>
        </w:rPr>
        <w:t>Los rostros del honor</w:t>
      </w:r>
      <w:r w:rsidRPr="00A2680F">
        <w:rPr>
          <w:rFonts w:ascii="Garamond" w:hAnsi="Garamond"/>
        </w:rPr>
        <w:t>, 203.</w:t>
      </w:r>
    </w:p>
  </w:footnote>
  <w:footnote w:id="75">
    <w:p w14:paraId="79C43343" w14:textId="77777777" w:rsidR="00C01B32" w:rsidRPr="00A2680F" w:rsidRDefault="00C01B32"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334v.</w:t>
      </w:r>
    </w:p>
  </w:footnote>
  <w:footnote w:id="76">
    <w:p w14:paraId="76EF8361" w14:textId="77777777" w:rsidR="00DC55BE" w:rsidRPr="00A2680F" w:rsidRDefault="00DC55BE"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343r.</w:t>
      </w:r>
    </w:p>
  </w:footnote>
  <w:footnote w:id="77">
    <w:p w14:paraId="5D900BC2" w14:textId="77777777" w:rsidR="000F48BD" w:rsidRPr="00A2680F" w:rsidRDefault="000F48BD"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 34</w:t>
      </w:r>
      <w:r w:rsidR="00E42AFB" w:rsidRPr="00A2680F">
        <w:rPr>
          <w:rFonts w:ascii="Garamond" w:hAnsi="Garamond" w:cs="Times New Roman"/>
          <w:sz w:val="20"/>
          <w:szCs w:val="20"/>
        </w:rPr>
        <w:t>0</w:t>
      </w:r>
      <w:r w:rsidRPr="00A2680F">
        <w:rPr>
          <w:rFonts w:ascii="Garamond" w:hAnsi="Garamond" w:cs="Times New Roman"/>
          <w:sz w:val="20"/>
          <w:szCs w:val="20"/>
        </w:rPr>
        <w:t>v.</w:t>
      </w:r>
    </w:p>
  </w:footnote>
  <w:footnote w:id="78">
    <w:p w14:paraId="7A20047D" w14:textId="77777777" w:rsidR="00E42AFB" w:rsidRPr="00A2680F" w:rsidRDefault="00E42AFB" w:rsidP="00A2680F">
      <w:pPr>
        <w:spacing w:after="0" w:line="240" w:lineRule="auto"/>
        <w:jc w:val="both"/>
        <w:rPr>
          <w:rFonts w:ascii="Garamond" w:hAnsi="Garamond" w:cs="Times New Roman"/>
          <w:sz w:val="20"/>
          <w:szCs w:val="20"/>
        </w:rPr>
      </w:pPr>
      <w:r w:rsidRPr="00A2680F">
        <w:rPr>
          <w:rStyle w:val="Refdenotaalpie"/>
          <w:rFonts w:ascii="Garamond" w:hAnsi="Garamond" w:cs="Times New Roman"/>
          <w:sz w:val="20"/>
          <w:szCs w:val="20"/>
        </w:rPr>
        <w:footnoteRef/>
      </w:r>
      <w:r w:rsidRPr="00A2680F">
        <w:rPr>
          <w:rFonts w:ascii="Garamond" w:hAnsi="Garamond" w:cs="Times New Roman"/>
          <w:sz w:val="20"/>
          <w:szCs w:val="20"/>
        </w:rPr>
        <w:t xml:space="preserve"> AGN, Sección colonia, </w:t>
      </w:r>
      <w:r w:rsidRPr="00A2680F">
        <w:rPr>
          <w:rFonts w:ascii="Garamond" w:hAnsi="Garamond" w:cs="Times New Roman"/>
          <w:i/>
          <w:sz w:val="20"/>
          <w:szCs w:val="20"/>
        </w:rPr>
        <w:t>Fondo negros y esclavos de Santander</w:t>
      </w:r>
      <w:r w:rsidRPr="00A2680F">
        <w:rPr>
          <w:rFonts w:ascii="Garamond" w:hAnsi="Garamond" w:cs="Times New Roman"/>
          <w:sz w:val="20"/>
          <w:szCs w:val="20"/>
        </w:rPr>
        <w:t>, t. 4, año 1805, ff. 334v-335r.</w:t>
      </w:r>
    </w:p>
  </w:footnote>
  <w:footnote w:id="79">
    <w:p w14:paraId="069BC0B7" w14:textId="7E52DE85" w:rsidR="00C254AB" w:rsidRPr="00A2680F" w:rsidRDefault="00C254AB" w:rsidP="00A2680F">
      <w:pPr>
        <w:pStyle w:val="Textonotapie"/>
        <w:jc w:val="both"/>
        <w:rPr>
          <w:rFonts w:ascii="Garamond" w:hAnsi="Garamond"/>
          <w:lang w:val="en-US"/>
        </w:rPr>
      </w:pPr>
      <w:r w:rsidRPr="00A2680F">
        <w:rPr>
          <w:rStyle w:val="Refdenotaalpie"/>
          <w:rFonts w:ascii="Garamond" w:hAnsi="Garamond"/>
        </w:rPr>
        <w:footnoteRef/>
      </w:r>
      <w:r w:rsidRPr="00A2680F">
        <w:rPr>
          <w:rFonts w:ascii="Garamond" w:hAnsi="Garamond"/>
          <w:lang w:val="en-US"/>
        </w:rPr>
        <w:t xml:space="preserve"> </w:t>
      </w:r>
      <w:r w:rsidR="001E3C15" w:rsidRPr="00A2680F">
        <w:rPr>
          <w:rFonts w:ascii="Garamond" w:hAnsi="Garamond"/>
          <w:lang w:val="en-US"/>
        </w:rPr>
        <w:t>David L. Chandler. “Family bonds and the bondsman”:</w:t>
      </w:r>
      <w:r w:rsidRPr="00A2680F">
        <w:rPr>
          <w:rFonts w:ascii="Garamond" w:hAnsi="Garamond"/>
          <w:lang w:val="en-US"/>
        </w:rPr>
        <w:t xml:space="preserve"> 108-144.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C910" w14:textId="164149F6" w:rsidR="00AB085E" w:rsidRDefault="00AB085E">
    <w:pPr>
      <w:pStyle w:val="Encabezado"/>
      <w:jc w:val="right"/>
    </w:pPr>
  </w:p>
  <w:p w14:paraId="09284481" w14:textId="77777777" w:rsidR="00AB085E" w:rsidRDefault="00AB08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2D93"/>
    <w:multiLevelType w:val="hybridMultilevel"/>
    <w:tmpl w:val="391E94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FA133F"/>
    <w:multiLevelType w:val="hybridMultilevel"/>
    <w:tmpl w:val="DA58E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7A3C4E"/>
    <w:multiLevelType w:val="hybridMultilevel"/>
    <w:tmpl w:val="DE646264"/>
    <w:lvl w:ilvl="0" w:tplc="FAC03C8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2B3A54"/>
    <w:multiLevelType w:val="hybridMultilevel"/>
    <w:tmpl w:val="F18C454E"/>
    <w:lvl w:ilvl="0" w:tplc="2BACC09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53E574C"/>
    <w:multiLevelType w:val="hybridMultilevel"/>
    <w:tmpl w:val="37B47258"/>
    <w:lvl w:ilvl="0" w:tplc="763C52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D6"/>
    <w:rsid w:val="000152B2"/>
    <w:rsid w:val="00015E7E"/>
    <w:rsid w:val="000217BC"/>
    <w:rsid w:val="00024016"/>
    <w:rsid w:val="00030C19"/>
    <w:rsid w:val="00031154"/>
    <w:rsid w:val="00031378"/>
    <w:rsid w:val="0003194C"/>
    <w:rsid w:val="00033528"/>
    <w:rsid w:val="0003600F"/>
    <w:rsid w:val="00037545"/>
    <w:rsid w:val="00037CDB"/>
    <w:rsid w:val="000407D0"/>
    <w:rsid w:val="00040C63"/>
    <w:rsid w:val="00045831"/>
    <w:rsid w:val="00045EBA"/>
    <w:rsid w:val="00046B56"/>
    <w:rsid w:val="00047D15"/>
    <w:rsid w:val="00053567"/>
    <w:rsid w:val="00054CC5"/>
    <w:rsid w:val="00060463"/>
    <w:rsid w:val="00061A92"/>
    <w:rsid w:val="00066AFD"/>
    <w:rsid w:val="00067511"/>
    <w:rsid w:val="00067AD5"/>
    <w:rsid w:val="0007183A"/>
    <w:rsid w:val="00075C1A"/>
    <w:rsid w:val="0008147A"/>
    <w:rsid w:val="00083694"/>
    <w:rsid w:val="000839BA"/>
    <w:rsid w:val="000877D5"/>
    <w:rsid w:val="00092A35"/>
    <w:rsid w:val="0009449C"/>
    <w:rsid w:val="00095842"/>
    <w:rsid w:val="000A5DFE"/>
    <w:rsid w:val="000B33DA"/>
    <w:rsid w:val="000B6537"/>
    <w:rsid w:val="000C0E82"/>
    <w:rsid w:val="000C4BDF"/>
    <w:rsid w:val="000C55C5"/>
    <w:rsid w:val="000C7104"/>
    <w:rsid w:val="000D1450"/>
    <w:rsid w:val="000E65E1"/>
    <w:rsid w:val="000E72D9"/>
    <w:rsid w:val="000F45D1"/>
    <w:rsid w:val="000F48BD"/>
    <w:rsid w:val="000F4E78"/>
    <w:rsid w:val="000F767D"/>
    <w:rsid w:val="000F7A80"/>
    <w:rsid w:val="00100A24"/>
    <w:rsid w:val="00101416"/>
    <w:rsid w:val="0010532D"/>
    <w:rsid w:val="0010547A"/>
    <w:rsid w:val="0011284D"/>
    <w:rsid w:val="00113C25"/>
    <w:rsid w:val="00114EA7"/>
    <w:rsid w:val="0011741C"/>
    <w:rsid w:val="00130025"/>
    <w:rsid w:val="00130688"/>
    <w:rsid w:val="0013208F"/>
    <w:rsid w:val="00141D56"/>
    <w:rsid w:val="0014318C"/>
    <w:rsid w:val="001443C2"/>
    <w:rsid w:val="00147C4F"/>
    <w:rsid w:val="00154F98"/>
    <w:rsid w:val="0015682C"/>
    <w:rsid w:val="00161084"/>
    <w:rsid w:val="00161AD1"/>
    <w:rsid w:val="00164744"/>
    <w:rsid w:val="00165F9A"/>
    <w:rsid w:val="001664F9"/>
    <w:rsid w:val="00170178"/>
    <w:rsid w:val="001704C4"/>
    <w:rsid w:val="00170B9A"/>
    <w:rsid w:val="001736E9"/>
    <w:rsid w:val="00175D67"/>
    <w:rsid w:val="0018308B"/>
    <w:rsid w:val="00187ACF"/>
    <w:rsid w:val="00193F27"/>
    <w:rsid w:val="00195625"/>
    <w:rsid w:val="00197297"/>
    <w:rsid w:val="001A0263"/>
    <w:rsid w:val="001A3CCA"/>
    <w:rsid w:val="001B051E"/>
    <w:rsid w:val="001B2465"/>
    <w:rsid w:val="001B3430"/>
    <w:rsid w:val="001B34A3"/>
    <w:rsid w:val="001B4C47"/>
    <w:rsid w:val="001B5BF1"/>
    <w:rsid w:val="001C77E1"/>
    <w:rsid w:val="001D1334"/>
    <w:rsid w:val="001D23AC"/>
    <w:rsid w:val="001D247B"/>
    <w:rsid w:val="001D402C"/>
    <w:rsid w:val="001E05ED"/>
    <w:rsid w:val="001E3C15"/>
    <w:rsid w:val="001E458D"/>
    <w:rsid w:val="001E5290"/>
    <w:rsid w:val="001E5856"/>
    <w:rsid w:val="001F044F"/>
    <w:rsid w:val="001F338F"/>
    <w:rsid w:val="002017C2"/>
    <w:rsid w:val="00212146"/>
    <w:rsid w:val="002131C6"/>
    <w:rsid w:val="002137D8"/>
    <w:rsid w:val="0021464E"/>
    <w:rsid w:val="0021568F"/>
    <w:rsid w:val="00215D04"/>
    <w:rsid w:val="002227A1"/>
    <w:rsid w:val="002260AB"/>
    <w:rsid w:val="0022775F"/>
    <w:rsid w:val="00235B7A"/>
    <w:rsid w:val="00242552"/>
    <w:rsid w:val="00246266"/>
    <w:rsid w:val="00253B85"/>
    <w:rsid w:val="00254AE5"/>
    <w:rsid w:val="00257F90"/>
    <w:rsid w:val="002632C8"/>
    <w:rsid w:val="0026572D"/>
    <w:rsid w:val="0027487E"/>
    <w:rsid w:val="00274938"/>
    <w:rsid w:val="00274F83"/>
    <w:rsid w:val="00285773"/>
    <w:rsid w:val="002860D0"/>
    <w:rsid w:val="00291B7E"/>
    <w:rsid w:val="00293C35"/>
    <w:rsid w:val="002A0EB4"/>
    <w:rsid w:val="002B28D9"/>
    <w:rsid w:val="002B315E"/>
    <w:rsid w:val="002B3B99"/>
    <w:rsid w:val="002B58B3"/>
    <w:rsid w:val="002D0E74"/>
    <w:rsid w:val="002D5818"/>
    <w:rsid w:val="002D59E5"/>
    <w:rsid w:val="002D6885"/>
    <w:rsid w:val="002E72FE"/>
    <w:rsid w:val="002F1F94"/>
    <w:rsid w:val="002F4C8E"/>
    <w:rsid w:val="00304530"/>
    <w:rsid w:val="00307388"/>
    <w:rsid w:val="00307AB9"/>
    <w:rsid w:val="00314B2A"/>
    <w:rsid w:val="00316FFC"/>
    <w:rsid w:val="003259BA"/>
    <w:rsid w:val="00330E51"/>
    <w:rsid w:val="00333AB5"/>
    <w:rsid w:val="003342F7"/>
    <w:rsid w:val="00334495"/>
    <w:rsid w:val="00334C3A"/>
    <w:rsid w:val="00335251"/>
    <w:rsid w:val="003355D8"/>
    <w:rsid w:val="00343EE9"/>
    <w:rsid w:val="003517B6"/>
    <w:rsid w:val="003553C5"/>
    <w:rsid w:val="003558DD"/>
    <w:rsid w:val="003576B8"/>
    <w:rsid w:val="00357DC4"/>
    <w:rsid w:val="003600CE"/>
    <w:rsid w:val="003624C5"/>
    <w:rsid w:val="003642E4"/>
    <w:rsid w:val="00366218"/>
    <w:rsid w:val="0036726E"/>
    <w:rsid w:val="003676E0"/>
    <w:rsid w:val="00367FF2"/>
    <w:rsid w:val="00380C3D"/>
    <w:rsid w:val="0038697E"/>
    <w:rsid w:val="0039037D"/>
    <w:rsid w:val="0039467F"/>
    <w:rsid w:val="00395865"/>
    <w:rsid w:val="003A0DC4"/>
    <w:rsid w:val="003A1273"/>
    <w:rsid w:val="003A25F6"/>
    <w:rsid w:val="003A2966"/>
    <w:rsid w:val="003A6826"/>
    <w:rsid w:val="003A74AB"/>
    <w:rsid w:val="003B20D4"/>
    <w:rsid w:val="003B4700"/>
    <w:rsid w:val="003B4857"/>
    <w:rsid w:val="003B4CE4"/>
    <w:rsid w:val="003C5C5D"/>
    <w:rsid w:val="003C7DC7"/>
    <w:rsid w:val="003D213E"/>
    <w:rsid w:val="003F2C70"/>
    <w:rsid w:val="003F41BF"/>
    <w:rsid w:val="003F4754"/>
    <w:rsid w:val="003F4979"/>
    <w:rsid w:val="003F6A43"/>
    <w:rsid w:val="003F7EA8"/>
    <w:rsid w:val="004014B8"/>
    <w:rsid w:val="004028FD"/>
    <w:rsid w:val="00403085"/>
    <w:rsid w:val="00405923"/>
    <w:rsid w:val="0040762C"/>
    <w:rsid w:val="004141A3"/>
    <w:rsid w:val="00414AA8"/>
    <w:rsid w:val="004276EC"/>
    <w:rsid w:val="004301A8"/>
    <w:rsid w:val="00431441"/>
    <w:rsid w:val="0043596E"/>
    <w:rsid w:val="00441B77"/>
    <w:rsid w:val="004427AA"/>
    <w:rsid w:val="00445821"/>
    <w:rsid w:val="00446838"/>
    <w:rsid w:val="004515C9"/>
    <w:rsid w:val="00454BD6"/>
    <w:rsid w:val="004553BA"/>
    <w:rsid w:val="004567C4"/>
    <w:rsid w:val="00462D07"/>
    <w:rsid w:val="00464F55"/>
    <w:rsid w:val="004713CD"/>
    <w:rsid w:val="0047279F"/>
    <w:rsid w:val="00474F30"/>
    <w:rsid w:val="00475080"/>
    <w:rsid w:val="00476676"/>
    <w:rsid w:val="00480102"/>
    <w:rsid w:val="00483CCB"/>
    <w:rsid w:val="00485D7D"/>
    <w:rsid w:val="004860AE"/>
    <w:rsid w:val="0049328B"/>
    <w:rsid w:val="0049336D"/>
    <w:rsid w:val="00493C11"/>
    <w:rsid w:val="0049491D"/>
    <w:rsid w:val="00495106"/>
    <w:rsid w:val="00496B14"/>
    <w:rsid w:val="00497EF4"/>
    <w:rsid w:val="004A110B"/>
    <w:rsid w:val="004A65B6"/>
    <w:rsid w:val="004A7FCA"/>
    <w:rsid w:val="004B2874"/>
    <w:rsid w:val="004B2A7A"/>
    <w:rsid w:val="004B3876"/>
    <w:rsid w:val="004B3D41"/>
    <w:rsid w:val="004B6BF9"/>
    <w:rsid w:val="004C446A"/>
    <w:rsid w:val="004D3942"/>
    <w:rsid w:val="004E72FE"/>
    <w:rsid w:val="004F03F2"/>
    <w:rsid w:val="004F1C17"/>
    <w:rsid w:val="004F2834"/>
    <w:rsid w:val="004F6044"/>
    <w:rsid w:val="0050129D"/>
    <w:rsid w:val="00501515"/>
    <w:rsid w:val="005040AB"/>
    <w:rsid w:val="005058C2"/>
    <w:rsid w:val="00505907"/>
    <w:rsid w:val="00511FB6"/>
    <w:rsid w:val="00514E3E"/>
    <w:rsid w:val="00515850"/>
    <w:rsid w:val="00516E54"/>
    <w:rsid w:val="00522367"/>
    <w:rsid w:val="00524276"/>
    <w:rsid w:val="00525719"/>
    <w:rsid w:val="00532FFD"/>
    <w:rsid w:val="00533C80"/>
    <w:rsid w:val="0054087B"/>
    <w:rsid w:val="00541ACD"/>
    <w:rsid w:val="00541BE2"/>
    <w:rsid w:val="00543408"/>
    <w:rsid w:val="00544169"/>
    <w:rsid w:val="005448DB"/>
    <w:rsid w:val="0054658F"/>
    <w:rsid w:val="005500A1"/>
    <w:rsid w:val="005558B1"/>
    <w:rsid w:val="005578F6"/>
    <w:rsid w:val="005604CD"/>
    <w:rsid w:val="00561064"/>
    <w:rsid w:val="00561684"/>
    <w:rsid w:val="005621B6"/>
    <w:rsid w:val="00563224"/>
    <w:rsid w:val="00564DDB"/>
    <w:rsid w:val="005677EA"/>
    <w:rsid w:val="00570389"/>
    <w:rsid w:val="00570A19"/>
    <w:rsid w:val="00574812"/>
    <w:rsid w:val="00576A09"/>
    <w:rsid w:val="00576E04"/>
    <w:rsid w:val="00580682"/>
    <w:rsid w:val="00581F54"/>
    <w:rsid w:val="00584D55"/>
    <w:rsid w:val="005914B7"/>
    <w:rsid w:val="005A3FA6"/>
    <w:rsid w:val="005A4B70"/>
    <w:rsid w:val="005A4E96"/>
    <w:rsid w:val="005B4B1B"/>
    <w:rsid w:val="005B4BBC"/>
    <w:rsid w:val="005B70DB"/>
    <w:rsid w:val="005C09E5"/>
    <w:rsid w:val="005C2BEF"/>
    <w:rsid w:val="005D074D"/>
    <w:rsid w:val="005D5889"/>
    <w:rsid w:val="005D59DE"/>
    <w:rsid w:val="005D5F0F"/>
    <w:rsid w:val="005F102C"/>
    <w:rsid w:val="005F36B6"/>
    <w:rsid w:val="005F6A0B"/>
    <w:rsid w:val="00605965"/>
    <w:rsid w:val="006120E0"/>
    <w:rsid w:val="00612F1A"/>
    <w:rsid w:val="006208B9"/>
    <w:rsid w:val="006221DB"/>
    <w:rsid w:val="00622230"/>
    <w:rsid w:val="00623407"/>
    <w:rsid w:val="00624D9B"/>
    <w:rsid w:val="00627A5F"/>
    <w:rsid w:val="00630B0D"/>
    <w:rsid w:val="006329BC"/>
    <w:rsid w:val="006359C0"/>
    <w:rsid w:val="00635EFC"/>
    <w:rsid w:val="0063620B"/>
    <w:rsid w:val="00643BDC"/>
    <w:rsid w:val="00646648"/>
    <w:rsid w:val="00647043"/>
    <w:rsid w:val="00664770"/>
    <w:rsid w:val="00665D62"/>
    <w:rsid w:val="00666BBB"/>
    <w:rsid w:val="00667E2B"/>
    <w:rsid w:val="00670446"/>
    <w:rsid w:val="00672318"/>
    <w:rsid w:val="00673258"/>
    <w:rsid w:val="006748F8"/>
    <w:rsid w:val="006750BA"/>
    <w:rsid w:val="00680C28"/>
    <w:rsid w:val="006837FE"/>
    <w:rsid w:val="00684579"/>
    <w:rsid w:val="00690BDC"/>
    <w:rsid w:val="006912C3"/>
    <w:rsid w:val="00693D97"/>
    <w:rsid w:val="00695496"/>
    <w:rsid w:val="006A37EF"/>
    <w:rsid w:val="006B5EFD"/>
    <w:rsid w:val="006B6F17"/>
    <w:rsid w:val="006B777A"/>
    <w:rsid w:val="006B7EB2"/>
    <w:rsid w:val="006C007E"/>
    <w:rsid w:val="006C6A7A"/>
    <w:rsid w:val="006C74DE"/>
    <w:rsid w:val="006D070A"/>
    <w:rsid w:val="006D0812"/>
    <w:rsid w:val="006D506D"/>
    <w:rsid w:val="006E158A"/>
    <w:rsid w:val="006E1D2E"/>
    <w:rsid w:val="006E6032"/>
    <w:rsid w:val="006E63B8"/>
    <w:rsid w:val="006E7236"/>
    <w:rsid w:val="006E73B9"/>
    <w:rsid w:val="006E7C35"/>
    <w:rsid w:val="006F1375"/>
    <w:rsid w:val="006F2D68"/>
    <w:rsid w:val="006F69D9"/>
    <w:rsid w:val="007015D6"/>
    <w:rsid w:val="00702640"/>
    <w:rsid w:val="007056AF"/>
    <w:rsid w:val="007065C5"/>
    <w:rsid w:val="00707B17"/>
    <w:rsid w:val="0071247B"/>
    <w:rsid w:val="00721E87"/>
    <w:rsid w:val="00723FB8"/>
    <w:rsid w:val="00727BB9"/>
    <w:rsid w:val="00731A41"/>
    <w:rsid w:val="007360D6"/>
    <w:rsid w:val="007460ED"/>
    <w:rsid w:val="00751843"/>
    <w:rsid w:val="00752983"/>
    <w:rsid w:val="0075510E"/>
    <w:rsid w:val="0075667B"/>
    <w:rsid w:val="00764E36"/>
    <w:rsid w:val="00765D06"/>
    <w:rsid w:val="00771CAC"/>
    <w:rsid w:val="00775DF7"/>
    <w:rsid w:val="0077641E"/>
    <w:rsid w:val="00781CD0"/>
    <w:rsid w:val="00792357"/>
    <w:rsid w:val="00794F86"/>
    <w:rsid w:val="007A4261"/>
    <w:rsid w:val="007B2CAF"/>
    <w:rsid w:val="007B4DC2"/>
    <w:rsid w:val="007C62E8"/>
    <w:rsid w:val="007D06D1"/>
    <w:rsid w:val="007D30ED"/>
    <w:rsid w:val="007D4FEA"/>
    <w:rsid w:val="007E3781"/>
    <w:rsid w:val="007E73BF"/>
    <w:rsid w:val="007F0941"/>
    <w:rsid w:val="007F2E58"/>
    <w:rsid w:val="007F337F"/>
    <w:rsid w:val="007F679D"/>
    <w:rsid w:val="00800ED0"/>
    <w:rsid w:val="00801CC3"/>
    <w:rsid w:val="00801E52"/>
    <w:rsid w:val="00801FE7"/>
    <w:rsid w:val="008116C4"/>
    <w:rsid w:val="00813CCE"/>
    <w:rsid w:val="00817C6E"/>
    <w:rsid w:val="0082659D"/>
    <w:rsid w:val="00830EA5"/>
    <w:rsid w:val="00833630"/>
    <w:rsid w:val="00834959"/>
    <w:rsid w:val="00840888"/>
    <w:rsid w:val="00840BB6"/>
    <w:rsid w:val="008434F9"/>
    <w:rsid w:val="008435FA"/>
    <w:rsid w:val="0085123C"/>
    <w:rsid w:val="0085613A"/>
    <w:rsid w:val="00856405"/>
    <w:rsid w:val="00856961"/>
    <w:rsid w:val="00860BA6"/>
    <w:rsid w:val="00864262"/>
    <w:rsid w:val="008656EE"/>
    <w:rsid w:val="008712A3"/>
    <w:rsid w:val="008725C4"/>
    <w:rsid w:val="008766AC"/>
    <w:rsid w:val="008844E9"/>
    <w:rsid w:val="00887FA7"/>
    <w:rsid w:val="00894D44"/>
    <w:rsid w:val="0089696C"/>
    <w:rsid w:val="008A1FBC"/>
    <w:rsid w:val="008A2477"/>
    <w:rsid w:val="008A2D7E"/>
    <w:rsid w:val="008A2EB7"/>
    <w:rsid w:val="008B6CB7"/>
    <w:rsid w:val="008C275E"/>
    <w:rsid w:val="008C3EFD"/>
    <w:rsid w:val="008C46C8"/>
    <w:rsid w:val="008C4BA8"/>
    <w:rsid w:val="008C762A"/>
    <w:rsid w:val="008D4E3E"/>
    <w:rsid w:val="008D5DB3"/>
    <w:rsid w:val="008E4884"/>
    <w:rsid w:val="008E4AB9"/>
    <w:rsid w:val="008E6323"/>
    <w:rsid w:val="008F0D0C"/>
    <w:rsid w:val="008F0D70"/>
    <w:rsid w:val="008F19E4"/>
    <w:rsid w:val="008F31C8"/>
    <w:rsid w:val="00904668"/>
    <w:rsid w:val="0090521D"/>
    <w:rsid w:val="00907306"/>
    <w:rsid w:val="00913C62"/>
    <w:rsid w:val="00916040"/>
    <w:rsid w:val="00920A1E"/>
    <w:rsid w:val="0092243D"/>
    <w:rsid w:val="00930C9E"/>
    <w:rsid w:val="0093356A"/>
    <w:rsid w:val="00933C8D"/>
    <w:rsid w:val="00940174"/>
    <w:rsid w:val="00940654"/>
    <w:rsid w:val="0094222F"/>
    <w:rsid w:val="00950E72"/>
    <w:rsid w:val="00951353"/>
    <w:rsid w:val="009532C6"/>
    <w:rsid w:val="00953D06"/>
    <w:rsid w:val="00960B87"/>
    <w:rsid w:val="009617AA"/>
    <w:rsid w:val="00966078"/>
    <w:rsid w:val="009677A7"/>
    <w:rsid w:val="00970A30"/>
    <w:rsid w:val="00972DFB"/>
    <w:rsid w:val="00974A8F"/>
    <w:rsid w:val="00977BDC"/>
    <w:rsid w:val="0098367F"/>
    <w:rsid w:val="00985759"/>
    <w:rsid w:val="009930CD"/>
    <w:rsid w:val="009956FB"/>
    <w:rsid w:val="009959D4"/>
    <w:rsid w:val="00995AC5"/>
    <w:rsid w:val="00995B57"/>
    <w:rsid w:val="009A2253"/>
    <w:rsid w:val="009A255D"/>
    <w:rsid w:val="009A3DD0"/>
    <w:rsid w:val="009C0E62"/>
    <w:rsid w:val="009C2FC2"/>
    <w:rsid w:val="009C40EC"/>
    <w:rsid w:val="009C57E5"/>
    <w:rsid w:val="009D1C24"/>
    <w:rsid w:val="009D2E10"/>
    <w:rsid w:val="009D2E2B"/>
    <w:rsid w:val="009D3F9D"/>
    <w:rsid w:val="009E05C8"/>
    <w:rsid w:val="009E07B1"/>
    <w:rsid w:val="009E7BF5"/>
    <w:rsid w:val="009F421E"/>
    <w:rsid w:val="00A05C9A"/>
    <w:rsid w:val="00A05F06"/>
    <w:rsid w:val="00A063B7"/>
    <w:rsid w:val="00A100F2"/>
    <w:rsid w:val="00A167A2"/>
    <w:rsid w:val="00A17E7F"/>
    <w:rsid w:val="00A2257E"/>
    <w:rsid w:val="00A24582"/>
    <w:rsid w:val="00A2680F"/>
    <w:rsid w:val="00A3391C"/>
    <w:rsid w:val="00A35203"/>
    <w:rsid w:val="00A37A9D"/>
    <w:rsid w:val="00A40E02"/>
    <w:rsid w:val="00A4311C"/>
    <w:rsid w:val="00A508C5"/>
    <w:rsid w:val="00A53555"/>
    <w:rsid w:val="00A64F41"/>
    <w:rsid w:val="00A66378"/>
    <w:rsid w:val="00A66A75"/>
    <w:rsid w:val="00A7185D"/>
    <w:rsid w:val="00A72304"/>
    <w:rsid w:val="00A729DA"/>
    <w:rsid w:val="00A76B6D"/>
    <w:rsid w:val="00A80892"/>
    <w:rsid w:val="00A85B37"/>
    <w:rsid w:val="00A8606D"/>
    <w:rsid w:val="00A9097F"/>
    <w:rsid w:val="00AA2CDC"/>
    <w:rsid w:val="00AA6C5A"/>
    <w:rsid w:val="00AB085E"/>
    <w:rsid w:val="00AB1F7F"/>
    <w:rsid w:val="00AB7303"/>
    <w:rsid w:val="00AB7FA7"/>
    <w:rsid w:val="00AC5480"/>
    <w:rsid w:val="00AD1128"/>
    <w:rsid w:val="00AD4704"/>
    <w:rsid w:val="00AD4825"/>
    <w:rsid w:val="00AD6746"/>
    <w:rsid w:val="00AE17AC"/>
    <w:rsid w:val="00AF0ED7"/>
    <w:rsid w:val="00AF1734"/>
    <w:rsid w:val="00AF317F"/>
    <w:rsid w:val="00B020DB"/>
    <w:rsid w:val="00B106CF"/>
    <w:rsid w:val="00B133D8"/>
    <w:rsid w:val="00B17B67"/>
    <w:rsid w:val="00B20C51"/>
    <w:rsid w:val="00B223C8"/>
    <w:rsid w:val="00B249BE"/>
    <w:rsid w:val="00B253D1"/>
    <w:rsid w:val="00B2703D"/>
    <w:rsid w:val="00B36602"/>
    <w:rsid w:val="00B410DA"/>
    <w:rsid w:val="00B4236B"/>
    <w:rsid w:val="00B45F57"/>
    <w:rsid w:val="00B46D76"/>
    <w:rsid w:val="00B51DE7"/>
    <w:rsid w:val="00B55BA0"/>
    <w:rsid w:val="00B62760"/>
    <w:rsid w:val="00B62C5B"/>
    <w:rsid w:val="00B66240"/>
    <w:rsid w:val="00B760DB"/>
    <w:rsid w:val="00B91944"/>
    <w:rsid w:val="00B9745A"/>
    <w:rsid w:val="00BA08AE"/>
    <w:rsid w:val="00BA5874"/>
    <w:rsid w:val="00BA63E4"/>
    <w:rsid w:val="00BA78FA"/>
    <w:rsid w:val="00BB0E55"/>
    <w:rsid w:val="00BB1EFD"/>
    <w:rsid w:val="00BB600C"/>
    <w:rsid w:val="00BB764D"/>
    <w:rsid w:val="00BC01D6"/>
    <w:rsid w:val="00BC25C9"/>
    <w:rsid w:val="00BC35DC"/>
    <w:rsid w:val="00BC3BCD"/>
    <w:rsid w:val="00BD4432"/>
    <w:rsid w:val="00BF07B1"/>
    <w:rsid w:val="00BF0BA8"/>
    <w:rsid w:val="00BF60B6"/>
    <w:rsid w:val="00BF74ED"/>
    <w:rsid w:val="00C01B32"/>
    <w:rsid w:val="00C022B6"/>
    <w:rsid w:val="00C022F6"/>
    <w:rsid w:val="00C035DC"/>
    <w:rsid w:val="00C05136"/>
    <w:rsid w:val="00C0762A"/>
    <w:rsid w:val="00C103C4"/>
    <w:rsid w:val="00C10E9D"/>
    <w:rsid w:val="00C12820"/>
    <w:rsid w:val="00C129D3"/>
    <w:rsid w:val="00C15361"/>
    <w:rsid w:val="00C1750E"/>
    <w:rsid w:val="00C20DCF"/>
    <w:rsid w:val="00C2147E"/>
    <w:rsid w:val="00C21EE0"/>
    <w:rsid w:val="00C254AB"/>
    <w:rsid w:val="00C256AF"/>
    <w:rsid w:val="00C324E4"/>
    <w:rsid w:val="00C34300"/>
    <w:rsid w:val="00C34C57"/>
    <w:rsid w:val="00C351A9"/>
    <w:rsid w:val="00C438B5"/>
    <w:rsid w:val="00C45E34"/>
    <w:rsid w:val="00C51500"/>
    <w:rsid w:val="00C572A8"/>
    <w:rsid w:val="00C65FD2"/>
    <w:rsid w:val="00C67632"/>
    <w:rsid w:val="00C7033B"/>
    <w:rsid w:val="00C71236"/>
    <w:rsid w:val="00C73062"/>
    <w:rsid w:val="00C77F7E"/>
    <w:rsid w:val="00C867C7"/>
    <w:rsid w:val="00C90101"/>
    <w:rsid w:val="00C915E8"/>
    <w:rsid w:val="00C95121"/>
    <w:rsid w:val="00C971BC"/>
    <w:rsid w:val="00CA2A69"/>
    <w:rsid w:val="00CA5B03"/>
    <w:rsid w:val="00CB0910"/>
    <w:rsid w:val="00CC08FB"/>
    <w:rsid w:val="00CC3D17"/>
    <w:rsid w:val="00CC7455"/>
    <w:rsid w:val="00CD1935"/>
    <w:rsid w:val="00CD4BE1"/>
    <w:rsid w:val="00CD6290"/>
    <w:rsid w:val="00CE2636"/>
    <w:rsid w:val="00CE265C"/>
    <w:rsid w:val="00CE2B6E"/>
    <w:rsid w:val="00CF47A7"/>
    <w:rsid w:val="00CF503A"/>
    <w:rsid w:val="00CF7073"/>
    <w:rsid w:val="00D12ADF"/>
    <w:rsid w:val="00D21FAB"/>
    <w:rsid w:val="00D221BD"/>
    <w:rsid w:val="00D22627"/>
    <w:rsid w:val="00D22C1E"/>
    <w:rsid w:val="00D24535"/>
    <w:rsid w:val="00D25173"/>
    <w:rsid w:val="00D2529B"/>
    <w:rsid w:val="00D33A32"/>
    <w:rsid w:val="00D33E07"/>
    <w:rsid w:val="00D350A6"/>
    <w:rsid w:val="00D44B33"/>
    <w:rsid w:val="00D44F8E"/>
    <w:rsid w:val="00D46052"/>
    <w:rsid w:val="00D54654"/>
    <w:rsid w:val="00D65227"/>
    <w:rsid w:val="00D6775B"/>
    <w:rsid w:val="00D714D6"/>
    <w:rsid w:val="00D7715C"/>
    <w:rsid w:val="00D77FFE"/>
    <w:rsid w:val="00D82140"/>
    <w:rsid w:val="00D9038B"/>
    <w:rsid w:val="00D9299F"/>
    <w:rsid w:val="00D93768"/>
    <w:rsid w:val="00D93853"/>
    <w:rsid w:val="00D94051"/>
    <w:rsid w:val="00D94514"/>
    <w:rsid w:val="00D9565D"/>
    <w:rsid w:val="00DA00DA"/>
    <w:rsid w:val="00DA0C2D"/>
    <w:rsid w:val="00DA3595"/>
    <w:rsid w:val="00DA4C5E"/>
    <w:rsid w:val="00DB0753"/>
    <w:rsid w:val="00DC0814"/>
    <w:rsid w:val="00DC55BE"/>
    <w:rsid w:val="00DC7958"/>
    <w:rsid w:val="00DD14AA"/>
    <w:rsid w:val="00DD5C2E"/>
    <w:rsid w:val="00DD72A5"/>
    <w:rsid w:val="00DD7AD9"/>
    <w:rsid w:val="00DE152D"/>
    <w:rsid w:val="00DE6D5C"/>
    <w:rsid w:val="00DE7784"/>
    <w:rsid w:val="00DE7920"/>
    <w:rsid w:val="00DF1D7F"/>
    <w:rsid w:val="00E059D0"/>
    <w:rsid w:val="00E10594"/>
    <w:rsid w:val="00E119D4"/>
    <w:rsid w:val="00E13C6C"/>
    <w:rsid w:val="00E142A4"/>
    <w:rsid w:val="00E14DB3"/>
    <w:rsid w:val="00E20D2A"/>
    <w:rsid w:val="00E2372C"/>
    <w:rsid w:val="00E23FE5"/>
    <w:rsid w:val="00E32963"/>
    <w:rsid w:val="00E3367B"/>
    <w:rsid w:val="00E34173"/>
    <w:rsid w:val="00E42AFB"/>
    <w:rsid w:val="00E446E6"/>
    <w:rsid w:val="00E44C32"/>
    <w:rsid w:val="00E52EBC"/>
    <w:rsid w:val="00E60DF6"/>
    <w:rsid w:val="00E60F90"/>
    <w:rsid w:val="00E6192F"/>
    <w:rsid w:val="00E63529"/>
    <w:rsid w:val="00E73013"/>
    <w:rsid w:val="00E74052"/>
    <w:rsid w:val="00E77FE6"/>
    <w:rsid w:val="00E84498"/>
    <w:rsid w:val="00E87BC2"/>
    <w:rsid w:val="00E92B54"/>
    <w:rsid w:val="00E9354A"/>
    <w:rsid w:val="00E93FF9"/>
    <w:rsid w:val="00EA0021"/>
    <w:rsid w:val="00EA0835"/>
    <w:rsid w:val="00EA5FCE"/>
    <w:rsid w:val="00EB06D3"/>
    <w:rsid w:val="00EB2A1F"/>
    <w:rsid w:val="00EB4205"/>
    <w:rsid w:val="00EB5AD2"/>
    <w:rsid w:val="00EB633C"/>
    <w:rsid w:val="00EC675D"/>
    <w:rsid w:val="00EC7718"/>
    <w:rsid w:val="00ED10D4"/>
    <w:rsid w:val="00ED31FE"/>
    <w:rsid w:val="00EE3DFA"/>
    <w:rsid w:val="00EE3ED5"/>
    <w:rsid w:val="00EE4C1C"/>
    <w:rsid w:val="00EE5AE4"/>
    <w:rsid w:val="00EE72EE"/>
    <w:rsid w:val="00EF327D"/>
    <w:rsid w:val="00F060E6"/>
    <w:rsid w:val="00F07167"/>
    <w:rsid w:val="00F10A69"/>
    <w:rsid w:val="00F12145"/>
    <w:rsid w:val="00F1445B"/>
    <w:rsid w:val="00F17756"/>
    <w:rsid w:val="00F2193E"/>
    <w:rsid w:val="00F2382F"/>
    <w:rsid w:val="00F265A1"/>
    <w:rsid w:val="00F30399"/>
    <w:rsid w:val="00F326F4"/>
    <w:rsid w:val="00F33136"/>
    <w:rsid w:val="00F33D9C"/>
    <w:rsid w:val="00F33E40"/>
    <w:rsid w:val="00F4445C"/>
    <w:rsid w:val="00F47F68"/>
    <w:rsid w:val="00F510D6"/>
    <w:rsid w:val="00F52485"/>
    <w:rsid w:val="00F53786"/>
    <w:rsid w:val="00F5621D"/>
    <w:rsid w:val="00F6232D"/>
    <w:rsid w:val="00F6243D"/>
    <w:rsid w:val="00F63EA2"/>
    <w:rsid w:val="00F64260"/>
    <w:rsid w:val="00F6612F"/>
    <w:rsid w:val="00F72A2E"/>
    <w:rsid w:val="00F751C3"/>
    <w:rsid w:val="00F75F5B"/>
    <w:rsid w:val="00F77858"/>
    <w:rsid w:val="00F87393"/>
    <w:rsid w:val="00F876D4"/>
    <w:rsid w:val="00F93499"/>
    <w:rsid w:val="00F97E9C"/>
    <w:rsid w:val="00FB59FE"/>
    <w:rsid w:val="00FB6A43"/>
    <w:rsid w:val="00FC11E9"/>
    <w:rsid w:val="00FC3A70"/>
    <w:rsid w:val="00FC4DBA"/>
    <w:rsid w:val="00FC54B1"/>
    <w:rsid w:val="00FC571F"/>
    <w:rsid w:val="00FC59BB"/>
    <w:rsid w:val="00FC7D33"/>
    <w:rsid w:val="00FD3C60"/>
    <w:rsid w:val="00FD5B5A"/>
    <w:rsid w:val="00FD7D6D"/>
    <w:rsid w:val="00FF5FA2"/>
    <w:rsid w:val="00FF7B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96200E"/>
  <w15:docId w15:val="{D50E9284-7A1B-46C0-A2BD-8D7D9544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454BD6"/>
    <w:rPr>
      <w:vertAlign w:val="superscript"/>
    </w:rPr>
  </w:style>
  <w:style w:type="paragraph" w:styleId="Prrafodelista">
    <w:name w:val="List Paragraph"/>
    <w:basedOn w:val="Normal"/>
    <w:uiPriority w:val="34"/>
    <w:qFormat/>
    <w:rsid w:val="00454BD6"/>
    <w:pPr>
      <w:ind w:left="720"/>
      <w:contextualSpacing/>
    </w:pPr>
  </w:style>
  <w:style w:type="paragraph" w:styleId="Textonotapie">
    <w:name w:val="footnote text"/>
    <w:basedOn w:val="Normal"/>
    <w:link w:val="TextonotapieCar"/>
    <w:semiHidden/>
    <w:rsid w:val="00454BD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54BD6"/>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454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BD6"/>
  </w:style>
  <w:style w:type="paragraph" w:styleId="Piedepgina">
    <w:name w:val="footer"/>
    <w:basedOn w:val="Normal"/>
    <w:link w:val="PiedepginaCar"/>
    <w:uiPriority w:val="99"/>
    <w:unhideWhenUsed/>
    <w:rsid w:val="00454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BD6"/>
  </w:style>
  <w:style w:type="paragraph" w:styleId="Descripcin">
    <w:name w:val="caption"/>
    <w:basedOn w:val="Normal"/>
    <w:next w:val="Normal"/>
    <w:qFormat/>
    <w:rsid w:val="00454BD6"/>
    <w:pPr>
      <w:spacing w:before="120" w:after="120" w:line="240" w:lineRule="auto"/>
    </w:pPr>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454BD6"/>
    <w:rPr>
      <w:color w:val="0000FF"/>
      <w:u w:val="single"/>
    </w:rPr>
  </w:style>
  <w:style w:type="character" w:styleId="Hipervnculovisitado">
    <w:name w:val="FollowedHyperlink"/>
    <w:basedOn w:val="Fuentedeprrafopredeter"/>
    <w:uiPriority w:val="99"/>
    <w:semiHidden/>
    <w:unhideWhenUsed/>
    <w:rsid w:val="00454BD6"/>
    <w:rPr>
      <w:color w:val="800080" w:themeColor="followedHyperlink"/>
      <w:u w:val="single"/>
    </w:rPr>
  </w:style>
  <w:style w:type="paragraph" w:styleId="Textodeglobo">
    <w:name w:val="Balloon Text"/>
    <w:basedOn w:val="Normal"/>
    <w:link w:val="TextodegloboCar"/>
    <w:uiPriority w:val="99"/>
    <w:semiHidden/>
    <w:unhideWhenUsed/>
    <w:rsid w:val="00454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BD6"/>
    <w:rPr>
      <w:rFonts w:ascii="Tahoma" w:hAnsi="Tahoma" w:cs="Tahoma"/>
      <w:sz w:val="16"/>
      <w:szCs w:val="16"/>
    </w:rPr>
  </w:style>
  <w:style w:type="paragraph" w:styleId="Textonotaalfinal">
    <w:name w:val="endnote text"/>
    <w:basedOn w:val="Normal"/>
    <w:link w:val="TextonotaalfinalCar"/>
    <w:uiPriority w:val="99"/>
    <w:semiHidden/>
    <w:unhideWhenUsed/>
    <w:rsid w:val="008F31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31C8"/>
    <w:rPr>
      <w:sz w:val="20"/>
      <w:szCs w:val="20"/>
    </w:rPr>
  </w:style>
  <w:style w:type="character" w:styleId="Refdenotaalfinal">
    <w:name w:val="endnote reference"/>
    <w:basedOn w:val="Fuentedeprrafopredeter"/>
    <w:uiPriority w:val="99"/>
    <w:semiHidden/>
    <w:unhideWhenUsed/>
    <w:rsid w:val="008F31C8"/>
    <w:rPr>
      <w:vertAlign w:val="superscript"/>
    </w:rPr>
  </w:style>
  <w:style w:type="paragraph" w:customStyle="1" w:styleId="Default">
    <w:name w:val="Default"/>
    <w:rsid w:val="00D65227"/>
    <w:pPr>
      <w:autoSpaceDE w:val="0"/>
      <w:autoSpaceDN w:val="0"/>
      <w:adjustRightInd w:val="0"/>
      <w:spacing w:after="0" w:line="240" w:lineRule="auto"/>
    </w:pPr>
    <w:rPr>
      <w:rFonts w:ascii="Verdana" w:hAnsi="Verdana" w:cs="Verdana"/>
      <w:color w:val="000000"/>
      <w:sz w:val="24"/>
      <w:szCs w:val="24"/>
      <w:lang w:val="es-ES"/>
    </w:rPr>
  </w:style>
  <w:style w:type="paragraph" w:styleId="HTMLconformatoprevio">
    <w:name w:val="HTML Preformatted"/>
    <w:basedOn w:val="Normal"/>
    <w:link w:val="HTMLconformatoprevioCar"/>
    <w:uiPriority w:val="99"/>
    <w:semiHidden/>
    <w:unhideWhenUsed/>
    <w:rsid w:val="0015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15682C"/>
    <w:rPr>
      <w:rFonts w:ascii="Courier New" w:eastAsia="Times New Roman" w:hAnsi="Courier New" w:cs="Courier New"/>
      <w:sz w:val="20"/>
      <w:szCs w:val="20"/>
      <w:lang w:eastAsia="es-CO"/>
    </w:rPr>
  </w:style>
  <w:style w:type="character" w:customStyle="1" w:styleId="y2iqfc">
    <w:name w:val="y2iqfc"/>
    <w:basedOn w:val="Fuentedeprrafopredeter"/>
    <w:rsid w:val="0015682C"/>
  </w:style>
  <w:style w:type="character" w:customStyle="1" w:styleId="UnresolvedMention">
    <w:name w:val="Unresolved Mention"/>
    <w:basedOn w:val="Fuentedeprrafopredeter"/>
    <w:uiPriority w:val="99"/>
    <w:semiHidden/>
    <w:unhideWhenUsed/>
    <w:rsid w:val="00CC08FB"/>
    <w:rPr>
      <w:color w:val="605E5C"/>
      <w:shd w:val="clear" w:color="auto" w:fill="E1DFDD"/>
    </w:rPr>
  </w:style>
  <w:style w:type="paragraph" w:styleId="Sinespaciado">
    <w:name w:val="No Spacing"/>
    <w:uiPriority w:val="1"/>
    <w:qFormat/>
    <w:rsid w:val="00A26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10960">
      <w:bodyDiv w:val="1"/>
      <w:marLeft w:val="0"/>
      <w:marRight w:val="0"/>
      <w:marTop w:val="0"/>
      <w:marBottom w:val="0"/>
      <w:divBdr>
        <w:top w:val="none" w:sz="0" w:space="0" w:color="auto"/>
        <w:left w:val="none" w:sz="0" w:space="0" w:color="auto"/>
        <w:bottom w:val="none" w:sz="0" w:space="0" w:color="auto"/>
        <w:right w:val="none" w:sz="0" w:space="0" w:color="auto"/>
      </w:divBdr>
    </w:div>
    <w:div w:id="1590190047">
      <w:bodyDiv w:val="1"/>
      <w:marLeft w:val="0"/>
      <w:marRight w:val="0"/>
      <w:marTop w:val="0"/>
      <w:marBottom w:val="0"/>
      <w:divBdr>
        <w:top w:val="none" w:sz="0" w:space="0" w:color="auto"/>
        <w:left w:val="none" w:sz="0" w:space="0" w:color="auto"/>
        <w:bottom w:val="none" w:sz="0" w:space="0" w:color="auto"/>
        <w:right w:val="none" w:sz="0" w:space="0" w:color="auto"/>
      </w:divBdr>
    </w:div>
    <w:div w:id="17357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7138090" TargetMode="External"/><Relationship Id="rId13" Type="http://schemas.openxmlformats.org/officeDocument/2006/relationships/hyperlink" Target="http://www.banrepcultural.org/blaavirtual/geografia/afro/cuer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u.ca/nhp/conferences/dartmouth/Ren%E9e_Soulodre-La%20Fr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vianakluger.com.ar/articulos/Todo%20tiempo%20pasado%20fue%20mejo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alnet.unirioja.es/servlet/articulo?codigo=4095518" TargetMode="External"/><Relationship Id="rId4" Type="http://schemas.openxmlformats.org/officeDocument/2006/relationships/settings" Target="settings.xml"/><Relationship Id="rId9" Type="http://schemas.openxmlformats.org/officeDocument/2006/relationships/hyperlink" Target="http://www.fupress.net/index.php/sdd/article/view/8445/792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ivianakluger.com.ar/articulos/Todo%20tiempo%20pasado%20fue%20mejor.pdf" TargetMode="External"/><Relationship Id="rId2" Type="http://schemas.openxmlformats.org/officeDocument/2006/relationships/hyperlink" Target="https://dialnet.unirioja.es/servlet/articulo?codigo=7138090" TargetMode="External"/><Relationship Id="rId1" Type="http://schemas.openxmlformats.org/officeDocument/2006/relationships/hyperlink" Target="http://www.yorku.ca/nhp/conferences/dartmouth/Ren%E9e_Soulodre-La%20France.PDF" TargetMode="External"/><Relationship Id="rId5" Type="http://schemas.openxmlformats.org/officeDocument/2006/relationships/hyperlink" Target="https://dialnet.unirioja.es/servlet/articulo?codigo=4095518" TargetMode="External"/><Relationship Id="rId4" Type="http://schemas.openxmlformats.org/officeDocument/2006/relationships/hyperlink" Target="http://www.fupress.net/index.php/sdd/article/view/8445/7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2913-097B-4308-B35D-FDD155F9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7857</Words>
  <Characters>44786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DV4</dc:creator>
  <cp:lastModifiedBy>Evaluador</cp:lastModifiedBy>
  <cp:revision>5</cp:revision>
  <dcterms:created xsi:type="dcterms:W3CDTF">2022-06-24T15:11:00Z</dcterms:created>
  <dcterms:modified xsi:type="dcterms:W3CDTF">2024-07-08T17:18:00Z</dcterms:modified>
</cp:coreProperties>
</file>